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13B21">
      <w:pPr>
        <w:pStyle w:val="119"/>
        <w:ind w:left="0" w:leftChars="0" w:firstLine="0" w:firstLineChars="0"/>
        <w:jc w:val="both"/>
        <w:rPr>
          <w:rFonts w:hint="eastAsia" w:ascii="黑体" w:hAnsi="黑体" w:eastAsia="黑体" w:cs="黑体"/>
          <w:b w:val="0"/>
          <w:bCs w:val="0"/>
          <w:color w:val="000000" w:themeColor="text1"/>
          <w:sz w:val="32"/>
          <w:szCs w:val="32"/>
          <w:lang w:eastAsia="zh-CN"/>
          <w14:textFill>
            <w14:solidFill>
              <w14:schemeClr w14:val="tx1"/>
            </w14:solidFill>
          </w14:textFill>
        </w:rPr>
      </w:pPr>
      <w:r>
        <w:rPr>
          <w:rFonts w:hint="eastAsia" w:ascii="黑体" w:hAnsi="黑体" w:eastAsia="黑体" w:cs="黑体"/>
          <w:b w:val="0"/>
          <w:bCs w:val="0"/>
          <w:color w:val="000000" w:themeColor="text1"/>
          <w:sz w:val="32"/>
          <w:szCs w:val="32"/>
          <w:lang w:eastAsia="zh-CN"/>
          <w14:textFill>
            <w14:solidFill>
              <w14:schemeClr w14:val="tx1"/>
            </w14:solidFill>
          </w14:textFill>
        </w:rPr>
        <w:t>附件</w:t>
      </w:r>
    </w:p>
    <w:p w14:paraId="063D0760">
      <w:pPr>
        <w:pStyle w:val="119"/>
        <w:rPr>
          <w:rFonts w:hint="eastAsia"/>
          <w:color w:val="000000" w:themeColor="text1"/>
          <w14:textFill>
            <w14:solidFill>
              <w14:schemeClr w14:val="tx1"/>
            </w14:solidFill>
          </w14:textFill>
        </w:rPr>
      </w:pPr>
    </w:p>
    <w:p w14:paraId="15FD31E1">
      <w:pPr>
        <w:pStyle w:val="119"/>
        <w:ind w:left="0" w:leftChars="0" w:firstLine="0" w:firstLineChars="0"/>
        <w:jc w:val="both"/>
        <w:rPr>
          <w:rFonts w:hint="eastAsia"/>
          <w:color w:val="000000" w:themeColor="text1"/>
          <w14:textFill>
            <w14:solidFill>
              <w14:schemeClr w14:val="tx1"/>
            </w14:solidFill>
          </w14:textFill>
        </w:rPr>
      </w:pPr>
    </w:p>
    <w:p w14:paraId="3D837E9A">
      <w:pPr>
        <w:pStyle w:val="119"/>
        <w:rPr>
          <w:rFonts w:hint="eastAsia"/>
          <w:color w:val="000000" w:themeColor="text1"/>
          <w14:textFill>
            <w14:solidFill>
              <w14:schemeClr w14:val="tx1"/>
            </w14:solidFill>
          </w14:textFill>
        </w:rPr>
      </w:pPr>
    </w:p>
    <w:p w14:paraId="35F38419">
      <w:pPr>
        <w:pStyle w:val="119"/>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b/>
          <w:bCs/>
          <w:color w:val="000000" w:themeColor="text1"/>
          <w:sz w:val="56"/>
          <w:szCs w:val="56"/>
          <w14:textFill>
            <w14:solidFill>
              <w14:schemeClr w14:val="tx1"/>
            </w14:solidFill>
          </w14:textFill>
        </w:rPr>
      </w:pPr>
      <w:r>
        <w:rPr>
          <w:rFonts w:hint="eastAsia" w:ascii="方正小标宋简体" w:hAnsi="方正小标宋简体" w:eastAsia="方正小标宋简体" w:cs="方正小标宋简体"/>
          <w:b/>
          <w:bCs/>
          <w:color w:val="000000" w:themeColor="text1"/>
          <w:sz w:val="56"/>
          <w:szCs w:val="56"/>
          <w14:textFill>
            <w14:solidFill>
              <w14:schemeClr w14:val="tx1"/>
            </w14:solidFill>
          </w14:textFill>
        </w:rPr>
        <w:t>济南市建设工程消防设计审查验收</w:t>
      </w:r>
    </w:p>
    <w:p w14:paraId="0EEB11A3">
      <w:pPr>
        <w:pStyle w:val="119"/>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b/>
          <w:bCs/>
          <w:color w:val="000000" w:themeColor="text1"/>
          <w:sz w:val="56"/>
          <w:szCs w:val="56"/>
          <w14:textFill>
            <w14:solidFill>
              <w14:schemeClr w14:val="tx1"/>
            </w14:solidFill>
          </w14:textFill>
        </w:rPr>
      </w:pPr>
      <w:r>
        <w:rPr>
          <w:rFonts w:hint="eastAsia" w:ascii="方正小标宋简体" w:hAnsi="方正小标宋简体" w:eastAsia="方正小标宋简体" w:cs="方正小标宋简体"/>
          <w:b/>
          <w:bCs/>
          <w:color w:val="000000" w:themeColor="text1"/>
          <w:sz w:val="56"/>
          <w:szCs w:val="56"/>
          <w14:textFill>
            <w14:solidFill>
              <w14:schemeClr w14:val="tx1"/>
            </w14:solidFill>
          </w14:textFill>
        </w:rPr>
        <w:t>常见问题释疑（第二期）</w:t>
      </w:r>
    </w:p>
    <w:p w14:paraId="06A4F72A">
      <w:pPr>
        <w:pStyle w:val="119"/>
        <w:rPr>
          <w:rFonts w:hint="eastAsia"/>
          <w:color w:val="000000" w:themeColor="text1"/>
          <w14:textFill>
            <w14:solidFill>
              <w14:schemeClr w14:val="tx1"/>
            </w14:solidFill>
          </w14:textFill>
        </w:rPr>
      </w:pPr>
    </w:p>
    <w:p w14:paraId="694E5CE0">
      <w:pPr>
        <w:pStyle w:val="119"/>
        <w:rPr>
          <w:rFonts w:hint="eastAsia"/>
          <w:color w:val="000000" w:themeColor="text1"/>
          <w14:textFill>
            <w14:solidFill>
              <w14:schemeClr w14:val="tx1"/>
            </w14:solidFill>
          </w14:textFill>
        </w:rPr>
      </w:pPr>
    </w:p>
    <w:p w14:paraId="03B16BD6">
      <w:pPr>
        <w:pStyle w:val="119"/>
        <w:rPr>
          <w:rFonts w:hint="eastAsia"/>
          <w:color w:val="000000" w:themeColor="text1"/>
          <w14:textFill>
            <w14:solidFill>
              <w14:schemeClr w14:val="tx1"/>
            </w14:solidFill>
          </w14:textFill>
        </w:rPr>
      </w:pPr>
    </w:p>
    <w:p w14:paraId="2453A953">
      <w:pPr>
        <w:pStyle w:val="119"/>
        <w:rPr>
          <w:rFonts w:hint="eastAsia"/>
          <w:color w:val="000000" w:themeColor="text1"/>
          <w14:textFill>
            <w14:solidFill>
              <w14:schemeClr w14:val="tx1"/>
            </w14:solidFill>
          </w14:textFill>
        </w:rPr>
      </w:pPr>
    </w:p>
    <w:p w14:paraId="7311FB12">
      <w:pPr>
        <w:pStyle w:val="119"/>
        <w:rPr>
          <w:rFonts w:hint="eastAsia"/>
          <w:color w:val="000000" w:themeColor="text1"/>
          <w14:textFill>
            <w14:solidFill>
              <w14:schemeClr w14:val="tx1"/>
            </w14:solidFill>
          </w14:textFill>
        </w:rPr>
      </w:pPr>
    </w:p>
    <w:p w14:paraId="21F19315">
      <w:pPr>
        <w:pStyle w:val="119"/>
        <w:rPr>
          <w:rFonts w:hint="eastAsia"/>
          <w:color w:val="000000" w:themeColor="text1"/>
          <w14:textFill>
            <w14:solidFill>
              <w14:schemeClr w14:val="tx1"/>
            </w14:solidFill>
          </w14:textFill>
        </w:rPr>
      </w:pPr>
    </w:p>
    <w:p w14:paraId="02FC8EAC">
      <w:pPr>
        <w:pStyle w:val="119"/>
        <w:rPr>
          <w:rFonts w:hint="eastAsia"/>
          <w:color w:val="000000" w:themeColor="text1"/>
          <w14:textFill>
            <w14:solidFill>
              <w14:schemeClr w14:val="tx1"/>
            </w14:solidFill>
          </w14:textFill>
        </w:rPr>
      </w:pPr>
    </w:p>
    <w:p w14:paraId="7656A600">
      <w:pPr>
        <w:pStyle w:val="119"/>
        <w:rPr>
          <w:rFonts w:hint="eastAsia"/>
          <w:color w:val="000000" w:themeColor="text1"/>
          <w14:textFill>
            <w14:solidFill>
              <w14:schemeClr w14:val="tx1"/>
            </w14:solidFill>
          </w14:textFill>
        </w:rPr>
      </w:pPr>
    </w:p>
    <w:p w14:paraId="251A32E0">
      <w:pPr>
        <w:pStyle w:val="119"/>
        <w:rPr>
          <w:rFonts w:hint="eastAsia"/>
          <w:color w:val="000000" w:themeColor="text1"/>
          <w14:textFill>
            <w14:solidFill>
              <w14:schemeClr w14:val="tx1"/>
            </w14:solidFill>
          </w14:textFill>
        </w:rPr>
      </w:pPr>
    </w:p>
    <w:p w14:paraId="69720CBF">
      <w:pPr>
        <w:pStyle w:val="119"/>
        <w:rPr>
          <w:rFonts w:hint="eastAsia"/>
          <w:color w:val="000000" w:themeColor="text1"/>
          <w14:textFill>
            <w14:solidFill>
              <w14:schemeClr w14:val="tx1"/>
            </w14:solidFill>
          </w14:textFill>
        </w:rPr>
      </w:pPr>
    </w:p>
    <w:p w14:paraId="06C19A2A">
      <w:pPr>
        <w:pStyle w:val="119"/>
        <w:rPr>
          <w:rFonts w:hint="eastAsia"/>
          <w:color w:val="000000" w:themeColor="text1"/>
          <w14:textFill>
            <w14:solidFill>
              <w14:schemeClr w14:val="tx1"/>
            </w14:solidFill>
          </w14:textFill>
        </w:rPr>
      </w:pPr>
    </w:p>
    <w:p w14:paraId="549FD43C">
      <w:pPr>
        <w:pStyle w:val="119"/>
        <w:rPr>
          <w:rFonts w:hint="eastAsia"/>
          <w:color w:val="000000" w:themeColor="text1"/>
          <w14:textFill>
            <w14:solidFill>
              <w14:schemeClr w14:val="tx1"/>
            </w14:solidFill>
          </w14:textFill>
        </w:rPr>
      </w:pPr>
    </w:p>
    <w:p w14:paraId="792106A2">
      <w:pPr>
        <w:pStyle w:val="119"/>
        <w:ind w:left="0" w:leftChars="0" w:firstLine="0" w:firstLineChars="0"/>
        <w:jc w:val="center"/>
        <w:rPr>
          <w:rFonts w:hint="eastAsia" w:ascii="黑体" w:hAnsi="黑体" w:eastAsia="黑体" w:cs="黑体"/>
          <w:b/>
          <w:bCs/>
          <w:color w:val="000000" w:themeColor="text1"/>
          <w:sz w:val="36"/>
          <w:szCs w:val="36"/>
          <w14:textFill>
            <w14:solidFill>
              <w14:schemeClr w14:val="tx1"/>
            </w14:solidFill>
          </w14:textFill>
        </w:rPr>
      </w:pPr>
      <w:r>
        <w:rPr>
          <w:rFonts w:hint="eastAsia" w:ascii="黑体" w:hAnsi="黑体" w:eastAsia="黑体" w:cs="黑体"/>
          <w:b/>
          <w:bCs/>
          <w:color w:val="000000" w:themeColor="text1"/>
          <w:sz w:val="36"/>
          <w:szCs w:val="36"/>
          <w14:textFill>
            <w14:solidFill>
              <w14:schemeClr w14:val="tx1"/>
            </w14:solidFill>
          </w14:textFill>
        </w:rPr>
        <w:t>济南市住房和城乡建设局</w:t>
      </w:r>
    </w:p>
    <w:p w14:paraId="1A6F8E0D">
      <w:pPr>
        <w:pStyle w:val="119"/>
        <w:ind w:left="0" w:leftChars="0" w:firstLine="0" w:firstLineChars="0"/>
        <w:jc w:val="center"/>
        <w:rPr>
          <w:rFonts w:hint="eastAsia" w:ascii="黑体" w:hAnsi="黑体" w:eastAsia="黑体" w:cs="黑体"/>
          <w:b/>
          <w:bCs/>
          <w:color w:val="000000" w:themeColor="text1"/>
          <w:sz w:val="36"/>
          <w:szCs w:val="36"/>
          <w14:textFill>
            <w14:solidFill>
              <w14:schemeClr w14:val="tx1"/>
            </w14:solidFill>
          </w14:textFill>
        </w:rPr>
      </w:pPr>
      <w:r>
        <w:rPr>
          <w:rFonts w:hint="eastAsia" w:ascii="黑体" w:hAnsi="黑体" w:eastAsia="黑体" w:cs="黑体"/>
          <w:b/>
          <w:bCs/>
          <w:color w:val="000000" w:themeColor="text1"/>
          <w:sz w:val="36"/>
          <w:szCs w:val="36"/>
          <w14:textFill>
            <w14:solidFill>
              <w14:schemeClr w14:val="tx1"/>
            </w14:solidFill>
          </w14:textFill>
        </w:rPr>
        <w:t>2025年</w:t>
      </w:r>
      <w:r>
        <w:rPr>
          <w:rFonts w:hint="eastAsia" w:ascii="黑体" w:hAnsi="黑体" w:eastAsia="黑体" w:cs="黑体"/>
          <w:b/>
          <w:bCs/>
          <w:color w:val="000000" w:themeColor="text1"/>
          <w:sz w:val="36"/>
          <w:szCs w:val="36"/>
          <w:lang w:val="en-US" w:eastAsia="zh-CN"/>
          <w14:textFill>
            <w14:solidFill>
              <w14:schemeClr w14:val="tx1"/>
            </w14:solidFill>
          </w14:textFill>
        </w:rPr>
        <w:t>3</w:t>
      </w:r>
      <w:r>
        <w:rPr>
          <w:rFonts w:hint="eastAsia" w:ascii="黑体" w:hAnsi="黑体" w:eastAsia="黑体" w:cs="黑体"/>
          <w:b/>
          <w:bCs/>
          <w:color w:val="000000" w:themeColor="text1"/>
          <w:sz w:val="36"/>
          <w:szCs w:val="36"/>
          <w14:textFill>
            <w14:solidFill>
              <w14:schemeClr w14:val="tx1"/>
            </w14:solidFill>
          </w14:textFill>
        </w:rPr>
        <w:t>月</w:t>
      </w:r>
    </w:p>
    <w:p w14:paraId="06FB2B65">
      <w:pPr>
        <w:pStyle w:val="119"/>
        <w:ind w:left="0" w:leftChars="0" w:firstLine="0" w:firstLineChars="0"/>
        <w:jc w:val="center"/>
        <w:rPr>
          <w:rFonts w:hint="eastAsia" w:ascii="黑体" w:hAnsi="黑体" w:eastAsia="黑体" w:cs="黑体"/>
          <w:b/>
          <w:bCs/>
          <w:color w:val="000000" w:themeColor="text1"/>
          <w:sz w:val="36"/>
          <w:szCs w:val="36"/>
          <w14:textFill>
            <w14:solidFill>
              <w14:schemeClr w14:val="tx1"/>
            </w14:solidFill>
          </w14:textFill>
        </w:rPr>
        <w:sectPr>
          <w:pgSz w:w="11906" w:h="16838"/>
          <w:pgMar w:top="2098" w:right="1474" w:bottom="1984" w:left="1474" w:header="851" w:footer="992" w:gutter="0"/>
          <w:pgNumType w:fmt="numberInDash"/>
          <w:cols w:space="425" w:num="1"/>
          <w:docGrid w:type="lines" w:linePitch="312" w:charSpace="0"/>
        </w:sectPr>
      </w:pPr>
    </w:p>
    <w:p w14:paraId="2C670783">
      <w:pPr>
        <w:pStyle w:val="119"/>
        <w:ind w:left="0" w:leftChars="0" w:firstLine="0" w:firstLineChars="0"/>
        <w:jc w:val="center"/>
        <w:rPr>
          <w:rFonts w:hint="eastAsia" w:ascii="方正小标宋简体" w:hAnsi="方正小标宋简体" w:eastAsia="方正小标宋简体" w:cs="方正小标宋简体"/>
          <w:b w:val="0"/>
          <w:bCs w:val="0"/>
          <w:color w:val="000000" w:themeColor="text1"/>
          <w:sz w:val="36"/>
          <w:szCs w:val="36"/>
          <w14:textFill>
            <w14:solidFill>
              <w14:schemeClr w14:val="tx1"/>
            </w14:solidFill>
          </w14:textFill>
        </w:rPr>
      </w:pPr>
    </w:p>
    <w:p w14:paraId="20E1326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color w:val="auto"/>
          <w:sz w:val="44"/>
          <w:szCs w:val="44"/>
          <w:u w:val="none"/>
        </w:rPr>
        <w:sectPr>
          <w:footerReference r:id="rId3" w:type="default"/>
          <w:pgSz w:w="11906" w:h="16838"/>
          <w:pgMar w:top="2098" w:right="1474" w:bottom="1984" w:left="1474" w:header="851" w:footer="992" w:gutter="0"/>
          <w:pgNumType w:fmt="numberInDash" w:start="1"/>
          <w:cols w:space="425" w:num="1"/>
          <w:docGrid w:type="lines" w:linePitch="312" w:charSpace="0"/>
        </w:sectPr>
      </w:pPr>
    </w:p>
    <w:p w14:paraId="0A3440C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color w:val="auto"/>
          <w:sz w:val="44"/>
          <w:szCs w:val="44"/>
          <w:u w:val="none"/>
        </w:rPr>
      </w:pPr>
      <w:r>
        <w:rPr>
          <w:rFonts w:hint="eastAsia" w:ascii="黑体" w:hAnsi="黑体" w:eastAsia="黑体" w:cs="黑体"/>
          <w:b/>
          <w:bCs/>
          <w:color w:val="auto"/>
          <w:sz w:val="44"/>
          <w:szCs w:val="44"/>
          <w:u w:val="none"/>
        </w:rPr>
        <w:t>前</w:t>
      </w:r>
      <w:r>
        <w:rPr>
          <w:rFonts w:hint="eastAsia" w:ascii="黑体" w:hAnsi="黑体" w:eastAsia="黑体" w:cs="黑体"/>
          <w:b/>
          <w:bCs/>
          <w:color w:val="auto"/>
          <w:sz w:val="44"/>
          <w:szCs w:val="44"/>
          <w:u w:val="none"/>
          <w:lang w:val="en-US" w:eastAsia="zh-CN"/>
        </w:rPr>
        <w:t xml:space="preserve">  </w:t>
      </w:r>
      <w:r>
        <w:rPr>
          <w:rFonts w:hint="eastAsia" w:ascii="黑体" w:hAnsi="黑体" w:eastAsia="黑体" w:cs="黑体"/>
          <w:b/>
          <w:bCs/>
          <w:color w:val="auto"/>
          <w:sz w:val="44"/>
          <w:szCs w:val="44"/>
          <w:u w:val="none"/>
        </w:rPr>
        <w:t>言</w:t>
      </w:r>
    </w:p>
    <w:p w14:paraId="4644A21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p>
    <w:p w14:paraId="6DDB6A7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color w:val="000000" w:themeColor="text1"/>
          <w:sz w:val="32"/>
          <w:szCs w:val="32"/>
          <w:u w:val="none"/>
          <w14:textFill>
            <w14:solidFill>
              <w14:schemeClr w14:val="tx1"/>
            </w14:solidFill>
          </w14:textFill>
        </w:rPr>
        <w:t>济南市住房和城乡建设局针对当前我市建设工程消防设计审查验收工作过程中存在的疑点、难点等问题，组织</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有关</w:t>
      </w:r>
      <w:r>
        <w:rPr>
          <w:rFonts w:hint="eastAsia" w:ascii="仿宋_GB2312" w:hAnsi="仿宋_GB2312" w:eastAsia="仿宋_GB2312" w:cs="仿宋_GB2312"/>
          <w:b w:val="0"/>
          <w:color w:val="000000" w:themeColor="text1"/>
          <w:sz w:val="32"/>
          <w:szCs w:val="32"/>
          <w:u w:val="none"/>
          <w14:textFill>
            <w14:solidFill>
              <w14:schemeClr w14:val="tx1"/>
            </w14:solidFill>
          </w14:textFill>
        </w:rPr>
        <w:t>专家编制了《济南市建设工程消防设计审查验收常见问题释疑（第二期）》（</w:t>
      </w:r>
      <w:r>
        <w:rPr>
          <w:rFonts w:hint="eastAsia" w:ascii="楷体_GB2312" w:hAnsi="楷体_GB2312" w:eastAsia="楷体_GB2312" w:cs="楷体_GB2312"/>
          <w:b w:val="0"/>
          <w:color w:val="000000" w:themeColor="text1"/>
          <w:sz w:val="32"/>
          <w:szCs w:val="32"/>
          <w:u w:val="none"/>
          <w14:textFill>
            <w14:solidFill>
              <w14:schemeClr w14:val="tx1"/>
            </w14:solidFill>
          </w14:textFill>
        </w:rPr>
        <w:t>以下简称</w:t>
      </w:r>
      <w:bookmarkStart w:id="0" w:name="OLE_LINK4"/>
      <w:r>
        <w:rPr>
          <w:rFonts w:hint="eastAsia" w:ascii="楷体_GB2312" w:hAnsi="楷体_GB2312" w:eastAsia="楷体_GB2312" w:cs="楷体_GB2312"/>
          <w:b w:val="0"/>
          <w:color w:val="000000" w:themeColor="text1"/>
          <w:sz w:val="32"/>
          <w:szCs w:val="32"/>
          <w:u w:val="none"/>
          <w14:textFill>
            <w14:solidFill>
              <w14:schemeClr w14:val="tx1"/>
            </w14:solidFill>
          </w14:textFill>
        </w:rPr>
        <w:t>《释疑》</w:t>
      </w:r>
      <w:bookmarkEnd w:id="0"/>
      <w:r>
        <w:rPr>
          <w:rFonts w:hint="eastAsia" w:ascii="仿宋_GB2312" w:hAnsi="仿宋_GB2312" w:eastAsia="仿宋_GB2312" w:cs="仿宋_GB2312"/>
          <w:b w:val="0"/>
          <w:color w:val="000000" w:themeColor="text1"/>
          <w:sz w:val="32"/>
          <w:szCs w:val="32"/>
          <w:u w:val="none"/>
          <w14:textFill>
            <w14:solidFill>
              <w14:schemeClr w14:val="tx1"/>
            </w14:solidFill>
          </w14:textFill>
        </w:rPr>
        <w:t>），</w:t>
      </w:r>
      <w:bookmarkStart w:id="1" w:name="OLE_LINK5"/>
      <w:r>
        <w:rPr>
          <w:rFonts w:hint="eastAsia" w:ascii="仿宋_GB2312" w:hAnsi="仿宋_GB2312" w:eastAsia="仿宋_GB2312" w:cs="仿宋_GB2312"/>
          <w:b w:val="0"/>
          <w:color w:val="000000" w:themeColor="text1"/>
          <w:sz w:val="32"/>
          <w:szCs w:val="32"/>
          <w:u w:val="none"/>
          <w14:textFill>
            <w14:solidFill>
              <w14:schemeClr w14:val="tx1"/>
            </w14:solidFill>
          </w14:textFill>
        </w:rPr>
        <w:t>已经专家审查通过</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w:t>
      </w:r>
      <w:r>
        <w:rPr>
          <w:rFonts w:hint="eastAsia" w:ascii="仿宋_GB2312" w:hAnsi="仿宋_GB2312" w:eastAsia="仿宋_GB2312" w:cs="仿宋_GB2312"/>
          <w:b w:val="0"/>
          <w:color w:val="000000" w:themeColor="text1"/>
          <w:sz w:val="32"/>
          <w:szCs w:val="32"/>
          <w:u w:val="none"/>
          <w14:textFill>
            <w14:solidFill>
              <w14:schemeClr w14:val="tx1"/>
            </w14:solidFill>
          </w14:textFill>
        </w:rPr>
        <w:t>《释疑》用于指导</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和</w:t>
      </w:r>
      <w:r>
        <w:rPr>
          <w:rFonts w:hint="eastAsia" w:ascii="仿宋_GB2312" w:hAnsi="仿宋_GB2312" w:eastAsia="仿宋_GB2312" w:cs="仿宋_GB2312"/>
          <w:b w:val="0"/>
          <w:color w:val="000000" w:themeColor="text1"/>
          <w:sz w:val="32"/>
          <w:szCs w:val="32"/>
          <w:u w:val="none"/>
          <w14:textFill>
            <w14:solidFill>
              <w14:schemeClr w14:val="tx1"/>
            </w14:solidFill>
          </w14:textFill>
        </w:rPr>
        <w:t>解决我市建设工程消防设计审查验收工作过程中的疑点、难点问题，为有关工作提供技术支撑。</w:t>
      </w:r>
      <w:bookmarkEnd w:id="1"/>
    </w:p>
    <w:p w14:paraId="7971F11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bookmarkStart w:id="2" w:name="OLE_LINK7"/>
      <w:r>
        <w:rPr>
          <w:rFonts w:hint="eastAsia" w:ascii="仿宋_GB2312" w:hAnsi="仿宋_GB2312" w:eastAsia="仿宋_GB2312" w:cs="仿宋_GB2312"/>
          <w:b w:val="0"/>
          <w:color w:val="000000" w:themeColor="text1"/>
          <w:sz w:val="32"/>
          <w:szCs w:val="32"/>
          <w:u w:val="none"/>
          <w14:textFill>
            <w14:solidFill>
              <w14:schemeClr w14:val="tx1"/>
            </w14:solidFill>
          </w14:textFill>
        </w:rPr>
        <w:t>本《释疑》共分为四部分，第一部分</w:t>
      </w:r>
      <w:bookmarkStart w:id="3" w:name="OLE_LINK6"/>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为</w:t>
      </w:r>
      <w:bookmarkEnd w:id="3"/>
      <w:r>
        <w:rPr>
          <w:rFonts w:hint="eastAsia" w:ascii="仿宋_GB2312" w:hAnsi="仿宋_GB2312" w:eastAsia="仿宋_GB2312" w:cs="仿宋_GB2312"/>
          <w:b w:val="0"/>
          <w:color w:val="000000" w:themeColor="text1"/>
          <w:sz w:val="32"/>
          <w:szCs w:val="32"/>
          <w:u w:val="none"/>
          <w14:textFill>
            <w14:solidFill>
              <w14:schemeClr w14:val="tx1"/>
            </w14:solidFill>
          </w14:textFill>
        </w:rPr>
        <w:t>建筑专业、第二部分</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为</w:t>
      </w:r>
      <w:r>
        <w:rPr>
          <w:rFonts w:hint="eastAsia" w:ascii="仿宋_GB2312" w:hAnsi="仿宋_GB2312" w:eastAsia="仿宋_GB2312" w:cs="仿宋_GB2312"/>
          <w:b w:val="0"/>
          <w:color w:val="000000" w:themeColor="text1"/>
          <w:sz w:val="32"/>
          <w:szCs w:val="32"/>
          <w:u w:val="none"/>
          <w14:textFill>
            <w14:solidFill>
              <w14:schemeClr w14:val="tx1"/>
            </w14:solidFill>
          </w14:textFill>
        </w:rPr>
        <w:t>给排水专业、第三部分</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为</w:t>
      </w:r>
      <w:r>
        <w:rPr>
          <w:rFonts w:hint="eastAsia" w:ascii="仿宋_GB2312" w:hAnsi="仿宋_GB2312" w:eastAsia="仿宋_GB2312" w:cs="仿宋_GB2312"/>
          <w:b w:val="0"/>
          <w:color w:val="000000" w:themeColor="text1"/>
          <w:sz w:val="32"/>
          <w:szCs w:val="32"/>
          <w:u w:val="none"/>
          <w14:textFill>
            <w14:solidFill>
              <w14:schemeClr w14:val="tx1"/>
            </w14:solidFill>
          </w14:textFill>
        </w:rPr>
        <w:t>暖通专业、第四部分</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为</w:t>
      </w:r>
      <w:r>
        <w:rPr>
          <w:rFonts w:hint="eastAsia" w:ascii="仿宋_GB2312" w:hAnsi="仿宋_GB2312" w:eastAsia="仿宋_GB2312" w:cs="仿宋_GB2312"/>
          <w:b w:val="0"/>
          <w:color w:val="000000" w:themeColor="text1"/>
          <w:sz w:val="32"/>
          <w:szCs w:val="32"/>
          <w:u w:val="none"/>
          <w14:textFill>
            <w14:solidFill>
              <w14:schemeClr w14:val="tx1"/>
            </w14:solidFill>
          </w14:textFill>
        </w:rPr>
        <w:t>电气专业。</w:t>
      </w:r>
    </w:p>
    <w:bookmarkEnd w:id="2"/>
    <w:p w14:paraId="79551D18">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color w:val="000000" w:themeColor="text1"/>
          <w:sz w:val="32"/>
          <w:szCs w:val="32"/>
          <w:u w:val="none"/>
          <w14:textFill>
            <w14:solidFill>
              <w14:schemeClr w14:val="tx1"/>
            </w14:solidFill>
          </w14:textFill>
        </w:rPr>
        <w:t>其中，《释疑》</w:t>
      </w:r>
      <w:r>
        <w:rPr>
          <w:rFonts w:hint="eastAsia" w:ascii="仿宋_GB2312" w:hAnsi="仿宋_GB2312" w:eastAsia="仿宋_GB2312" w:cs="仿宋_GB2312"/>
          <w:b w:val="0"/>
          <w:color w:val="auto"/>
          <w:sz w:val="32"/>
          <w:szCs w:val="32"/>
          <w:u w:val="none"/>
        </w:rPr>
        <w:t>第1.10条、第1.12条、第1.14条、第1.19条、第1.20条、第1.23条、第1.26条、第1.29条、第2.1条、第2.4条、第2.6条、第2.7条、第3.2条、第3.4条、第3.6条</w:t>
      </w:r>
      <w:bookmarkStart w:id="25" w:name="_GoBack"/>
      <w:bookmarkEnd w:id="25"/>
      <w:r>
        <w:rPr>
          <w:rFonts w:hint="eastAsia" w:ascii="仿宋_GB2312" w:hAnsi="仿宋_GB2312" w:eastAsia="仿宋_GB2312" w:cs="仿宋_GB2312"/>
          <w:b w:val="0"/>
          <w:color w:val="auto"/>
          <w:sz w:val="32"/>
          <w:szCs w:val="32"/>
          <w:u w:val="none"/>
        </w:rPr>
        <w:t>等</w:t>
      </w:r>
      <w:r>
        <w:rPr>
          <w:rFonts w:hint="eastAsia" w:ascii="仿宋_GB2312" w:hAnsi="仿宋_GB2312" w:eastAsia="仿宋_GB2312" w:cs="仿宋_GB2312"/>
          <w:b w:val="0"/>
          <w:color w:val="000000" w:themeColor="text1"/>
          <w:sz w:val="32"/>
          <w:szCs w:val="32"/>
          <w:u w:val="none"/>
          <w14:textFill>
            <w14:solidFill>
              <w14:schemeClr w14:val="tx1"/>
            </w14:solidFill>
          </w14:textFill>
        </w:rPr>
        <w:t>针对当前我市建设工程消防设计审查验收工作中部分无明确规定的疑难事宜提出了推荐性要求，</w:t>
      </w:r>
      <w:bookmarkStart w:id="4" w:name="OLE_LINK8"/>
      <w:r>
        <w:rPr>
          <w:rFonts w:hint="eastAsia" w:ascii="仿宋_GB2312" w:hAnsi="仿宋_GB2312" w:eastAsia="仿宋_GB2312" w:cs="仿宋_GB2312"/>
          <w:b w:val="0"/>
          <w:color w:val="000000" w:themeColor="text1"/>
          <w:sz w:val="32"/>
          <w:szCs w:val="32"/>
          <w:u w:val="none"/>
          <w14:textFill>
            <w14:solidFill>
              <w14:schemeClr w14:val="tx1"/>
            </w14:solidFill>
          </w14:textFill>
        </w:rPr>
        <w:t>建</w:t>
      </w:r>
      <w:r>
        <w:rPr>
          <w:rFonts w:hint="eastAsia" w:ascii="仿宋_GB2312" w:hAnsi="仿宋_GB2312" w:eastAsia="仿宋_GB2312" w:cs="仿宋_GB2312"/>
          <w:b w:val="0"/>
          <w:color w:val="000000"/>
          <w:sz w:val="32"/>
          <w:szCs w:val="32"/>
          <w:u w:val="none"/>
        </w:rPr>
        <w:t>议在我市建</w:t>
      </w:r>
      <w:r>
        <w:rPr>
          <w:rFonts w:hint="eastAsia" w:ascii="仿宋_GB2312" w:hAnsi="仿宋_GB2312" w:eastAsia="仿宋_GB2312" w:cs="仿宋_GB2312"/>
          <w:b w:val="0"/>
          <w:color w:val="000000" w:themeColor="text1"/>
          <w:sz w:val="32"/>
          <w:szCs w:val="32"/>
          <w:u w:val="none"/>
          <w14:textFill>
            <w14:solidFill>
              <w14:schemeClr w14:val="tx1"/>
            </w14:solidFill>
          </w14:textFill>
        </w:rPr>
        <w:t>设工程</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消防</w:t>
      </w:r>
      <w:r>
        <w:rPr>
          <w:rFonts w:hint="eastAsia" w:ascii="仿宋_GB2312" w:hAnsi="仿宋_GB2312" w:eastAsia="仿宋_GB2312" w:cs="仿宋_GB2312"/>
          <w:b w:val="0"/>
          <w:color w:val="000000" w:themeColor="text1"/>
          <w:sz w:val="32"/>
          <w:szCs w:val="32"/>
          <w:u w:val="none"/>
          <w14:textFill>
            <w14:solidFill>
              <w14:schemeClr w14:val="tx1"/>
            </w14:solidFill>
          </w14:textFill>
        </w:rPr>
        <w:t>设计、施工、验收等过程中执行上述条款。</w:t>
      </w:r>
      <w:bookmarkEnd w:id="4"/>
    </w:p>
    <w:p w14:paraId="40C1C2E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bookmarkStart w:id="5" w:name="OLE_LINK9"/>
      <w:r>
        <w:rPr>
          <w:rFonts w:hint="eastAsia" w:ascii="仿宋_GB2312" w:hAnsi="仿宋_GB2312" w:eastAsia="仿宋_GB2312" w:cs="仿宋_GB2312"/>
          <w:b w:val="0"/>
          <w:color w:val="000000" w:themeColor="text1"/>
          <w:sz w:val="32"/>
          <w:szCs w:val="32"/>
          <w:u w:val="none"/>
          <w14:textFill>
            <w14:solidFill>
              <w14:schemeClr w14:val="tx1"/>
            </w14:solidFill>
          </w14:textFill>
        </w:rPr>
        <w:t>如《释疑》内容与新发布或修订的国家技术标准、规范及国家、省、市有关文件要求不一致</w:t>
      </w:r>
      <w:r>
        <w:rPr>
          <w:rFonts w:hint="eastAsia" w:ascii="仿宋_GB2312" w:hAnsi="仿宋_GB2312" w:eastAsia="仿宋_GB2312" w:cs="仿宋_GB2312"/>
          <w:b w:val="0"/>
          <w:color w:val="000000" w:themeColor="text1"/>
          <w:sz w:val="32"/>
          <w:szCs w:val="32"/>
          <w:u w:val="none"/>
          <w:lang w:eastAsia="zh-CN"/>
          <w14:textFill>
            <w14:solidFill>
              <w14:schemeClr w14:val="tx1"/>
            </w14:solidFill>
          </w14:textFill>
        </w:rPr>
        <w:t>时</w:t>
      </w:r>
      <w:r>
        <w:rPr>
          <w:rFonts w:hint="eastAsia" w:ascii="仿宋_GB2312" w:hAnsi="仿宋_GB2312" w:eastAsia="仿宋_GB2312" w:cs="仿宋_GB2312"/>
          <w:b w:val="0"/>
          <w:color w:val="000000" w:themeColor="text1"/>
          <w:sz w:val="32"/>
          <w:szCs w:val="32"/>
          <w:u w:val="none"/>
          <w14:textFill>
            <w14:solidFill>
              <w14:schemeClr w14:val="tx1"/>
            </w14:solidFill>
          </w14:textFill>
        </w:rPr>
        <w:t>，按照最新规定执行。</w:t>
      </w:r>
      <w:bookmarkEnd w:id="5"/>
    </w:p>
    <w:p w14:paraId="712EB4A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color w:val="000000" w:themeColor="text1"/>
          <w:sz w:val="32"/>
          <w:szCs w:val="32"/>
          <w:u w:val="none"/>
          <w14:textFill>
            <w14:solidFill>
              <w14:schemeClr w14:val="tx1"/>
            </w14:solidFill>
          </w14:textFill>
        </w:rPr>
        <w:t>本《释疑》主要编写人员和主要审查人员：</w:t>
      </w:r>
    </w:p>
    <w:p w14:paraId="3D6BC13C">
      <w:pPr>
        <w:keepNext w:val="0"/>
        <w:keepLines w:val="0"/>
        <w:pageBreakBefore w:val="0"/>
        <w:widowControl w:val="0"/>
        <w:kinsoku/>
        <w:wordWrap/>
        <w:overflowPunct/>
        <w:topLinePunct w:val="0"/>
        <w:autoSpaceDE/>
        <w:autoSpaceDN/>
        <w:bidi w:val="0"/>
        <w:adjustRightInd/>
        <w:snapToGrid w:val="0"/>
        <w:spacing w:line="560" w:lineRule="exact"/>
        <w:ind w:left="955" w:leftChars="88" w:hanging="321" w:hangingChars="100"/>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r>
        <w:rPr>
          <w:rFonts w:hint="eastAsia" w:ascii="仿宋_GB2312" w:hAnsi="仿宋_GB2312" w:eastAsia="仿宋_GB2312" w:cs="仿宋_GB2312"/>
          <w:b/>
          <w:bCs w:val="0"/>
          <w:color w:val="000000" w:themeColor="text1"/>
          <w:sz w:val="32"/>
          <w:szCs w:val="32"/>
          <w:u w:val="none"/>
          <w14:textFill>
            <w14:solidFill>
              <w14:schemeClr w14:val="tx1"/>
            </w14:solidFill>
          </w14:textFill>
        </w:rPr>
        <w:t>主要编写人员</w:t>
      </w:r>
      <w:r>
        <w:rPr>
          <w:rFonts w:hint="eastAsia" w:ascii="仿宋_GB2312" w:hAnsi="仿宋_GB2312" w:eastAsia="仿宋_GB2312" w:cs="仿宋_GB2312"/>
          <w:b/>
          <w:bCs w:val="0"/>
          <w:color w:val="000000" w:themeColor="text1"/>
          <w:sz w:val="32"/>
          <w:szCs w:val="32"/>
          <w:u w:val="none"/>
          <w:lang w:eastAsia="zh-CN"/>
          <w14:textFill>
            <w14:solidFill>
              <w14:schemeClr w14:val="tx1"/>
            </w14:solidFill>
          </w14:textFill>
        </w:rPr>
        <w:t>：</w:t>
      </w:r>
      <w:r>
        <w:rPr>
          <w:rFonts w:hint="eastAsia" w:ascii="仿宋_GB2312" w:hAnsi="仿宋_GB2312" w:eastAsia="仿宋_GB2312" w:cs="仿宋_GB2312"/>
          <w:b w:val="0"/>
          <w:color w:val="000000" w:themeColor="text1"/>
          <w:sz w:val="32"/>
          <w:szCs w:val="32"/>
          <w:u w:val="none"/>
          <w14:textFill>
            <w14:solidFill>
              <w14:schemeClr w14:val="tx1"/>
            </w14:solidFill>
          </w14:textFill>
        </w:rPr>
        <w:t>韦洪雷</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张</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强</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李京松</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郑</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鹏</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刘征涯</w:t>
      </w:r>
    </w:p>
    <w:p w14:paraId="393F8167">
      <w:pPr>
        <w:keepNext w:val="0"/>
        <w:keepLines w:val="0"/>
        <w:pageBreakBefore w:val="0"/>
        <w:widowControl w:val="0"/>
        <w:kinsoku/>
        <w:wordWrap/>
        <w:overflowPunct/>
        <w:topLinePunct w:val="0"/>
        <w:autoSpaceDE/>
        <w:autoSpaceDN/>
        <w:bidi w:val="0"/>
        <w:adjustRightInd/>
        <w:snapToGrid w:val="0"/>
        <w:spacing w:line="560" w:lineRule="exact"/>
        <w:ind w:left="2883" w:leftChars="88" w:hanging="2249" w:hangingChars="700"/>
        <w:jc w:val="both"/>
        <w:textAlignment w:val="auto"/>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sectPr>
          <w:footerReference r:id="rId4" w:type="default"/>
          <w:pgSz w:w="11906" w:h="16838"/>
          <w:pgMar w:top="2098" w:right="1474" w:bottom="1984" w:left="1474" w:header="851" w:footer="992" w:gutter="0"/>
          <w:pgNumType w:fmt="numberInDash"/>
          <w:cols w:space="425" w:num="1"/>
          <w:docGrid w:type="lines" w:linePitch="312" w:charSpace="0"/>
        </w:sectPr>
      </w:pPr>
      <w:r>
        <w:rPr>
          <w:rFonts w:hint="eastAsia" w:ascii="仿宋_GB2312" w:hAnsi="仿宋_GB2312" w:eastAsia="仿宋_GB2312" w:cs="仿宋_GB2312"/>
          <w:b/>
          <w:bCs w:val="0"/>
          <w:color w:val="000000" w:themeColor="text1"/>
          <w:sz w:val="32"/>
          <w:szCs w:val="32"/>
          <w:u w:val="none"/>
          <w:lang w:val="en-US" w:eastAsia="zh-CN"/>
          <w14:textFill>
            <w14:solidFill>
              <w14:schemeClr w14:val="tx1"/>
            </w14:solidFill>
          </w14:textFill>
        </w:rPr>
        <w:t>参与编写</w:t>
      </w:r>
      <w:r>
        <w:rPr>
          <w:rFonts w:hint="eastAsia" w:ascii="仿宋_GB2312" w:hAnsi="仿宋_GB2312" w:eastAsia="仿宋_GB2312" w:cs="仿宋_GB2312"/>
          <w:b/>
          <w:bCs w:val="0"/>
          <w:color w:val="000000" w:themeColor="text1"/>
          <w:sz w:val="32"/>
          <w:szCs w:val="32"/>
          <w:u w:val="none"/>
          <w14:textFill>
            <w14:solidFill>
              <w14:schemeClr w14:val="tx1"/>
            </w14:solidFill>
          </w14:textFill>
        </w:rPr>
        <w:t>人员：</w:t>
      </w:r>
      <w:r>
        <w:rPr>
          <w:rFonts w:hint="eastAsia" w:ascii="仿宋_GB2312" w:hAnsi="仿宋_GB2312" w:eastAsia="仿宋_GB2312" w:cs="仿宋_GB2312"/>
          <w:b w:val="0"/>
          <w:color w:val="000000" w:themeColor="text1"/>
          <w:sz w:val="32"/>
          <w:szCs w:val="32"/>
          <w:u w:val="none"/>
          <w14:textFill>
            <w14:solidFill>
              <w14:schemeClr w14:val="tx1"/>
            </w14:solidFill>
          </w14:textFill>
        </w:rPr>
        <w:t>房传斌</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刘</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文</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钟爱玲</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段玉培</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朱文胜薛</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辉</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陈明亮</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金</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山</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刘</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璞</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张</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巍</w:t>
      </w:r>
    </w:p>
    <w:p w14:paraId="47270EC4">
      <w:pPr>
        <w:keepNext w:val="0"/>
        <w:keepLines w:val="0"/>
        <w:pageBreakBefore w:val="0"/>
        <w:widowControl w:val="0"/>
        <w:kinsoku/>
        <w:wordWrap/>
        <w:overflowPunct/>
        <w:topLinePunct w:val="0"/>
        <w:autoSpaceDE/>
        <w:autoSpaceDN/>
        <w:bidi w:val="0"/>
        <w:adjustRightInd/>
        <w:snapToGrid w:val="0"/>
        <w:spacing w:line="560" w:lineRule="exact"/>
        <w:ind w:left="2851" w:leftChars="396" w:firstLine="0" w:firstLineChars="0"/>
        <w:jc w:val="both"/>
        <w:textAlignment w:val="auto"/>
        <w:rPr>
          <w:rFonts w:hint="eastAsia" w:ascii="仿宋_GB2312" w:hAnsi="仿宋_GB2312" w:eastAsia="仿宋_GB2312" w:cs="仿宋_GB2312"/>
          <w:b w:val="0"/>
          <w:color w:val="000000" w:themeColor="text1"/>
          <w:sz w:val="32"/>
          <w:szCs w:val="32"/>
          <w:u w:val="none"/>
          <w14:textFill>
            <w14:solidFill>
              <w14:schemeClr w14:val="tx1"/>
            </w14:solidFill>
          </w14:textFill>
        </w:rPr>
      </w:pPr>
      <w:r>
        <w:rPr>
          <w:rFonts w:hint="eastAsia" w:ascii="仿宋_GB2312" w:hAnsi="仿宋_GB2312" w:eastAsia="仿宋_GB2312" w:cs="仿宋_GB2312"/>
          <w:b w:val="0"/>
          <w:color w:val="000000" w:themeColor="text1"/>
          <w:sz w:val="32"/>
          <w:szCs w:val="32"/>
          <w:u w:val="none"/>
          <w14:textFill>
            <w14:solidFill>
              <w14:schemeClr w14:val="tx1"/>
            </w14:solidFill>
          </w14:textFill>
        </w:rPr>
        <w:t>孙韶光</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丁</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勇</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刘</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浩</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王</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慧</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 xml:space="preserve">  </w:t>
      </w:r>
      <w:r>
        <w:rPr>
          <w:rFonts w:hint="eastAsia" w:ascii="仿宋_GB2312" w:hAnsi="仿宋_GB2312" w:eastAsia="仿宋_GB2312" w:cs="仿宋_GB2312"/>
          <w:b w:val="0"/>
          <w:color w:val="000000" w:themeColor="text1"/>
          <w:sz w:val="32"/>
          <w:szCs w:val="32"/>
          <w:u w:val="none"/>
          <w14:textFill>
            <w14:solidFill>
              <w14:schemeClr w14:val="tx1"/>
            </w14:solidFill>
          </w14:textFill>
        </w:rPr>
        <w:t>王永祝李从健</w:t>
      </w:r>
    </w:p>
    <w:p w14:paraId="69024D02">
      <w:pPr>
        <w:keepNext w:val="0"/>
        <w:keepLines w:val="0"/>
        <w:pageBreakBefore w:val="0"/>
        <w:widowControl w:val="0"/>
        <w:kinsoku/>
        <w:wordWrap/>
        <w:overflowPunct/>
        <w:topLinePunct w:val="0"/>
        <w:autoSpaceDE/>
        <w:autoSpaceDN/>
        <w:bidi w:val="0"/>
        <w:adjustRightInd/>
        <w:snapToGrid w:val="0"/>
        <w:spacing w:line="560" w:lineRule="exact"/>
        <w:ind w:left="955" w:leftChars="88" w:hanging="321" w:hangingChars="100"/>
        <w:textAlignment w:val="auto"/>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2"/>
          <w:szCs w:val="32"/>
          <w:u w:val="none"/>
          <w14:textFill>
            <w14:solidFill>
              <w14:schemeClr w14:val="tx1"/>
            </w14:solidFill>
          </w14:textFill>
        </w:rPr>
        <w:t>主要审查人员</w:t>
      </w:r>
      <w:r>
        <w:rPr>
          <w:rFonts w:hint="eastAsia" w:ascii="仿宋_GB2312" w:hAnsi="仿宋_GB2312" w:eastAsia="仿宋_GB2312" w:cs="仿宋_GB2312"/>
          <w:b/>
          <w:bCs w:val="0"/>
          <w:color w:val="000000" w:themeColor="text1"/>
          <w:sz w:val="32"/>
          <w:szCs w:val="32"/>
          <w:u w:val="none"/>
          <w:lang w:eastAsia="zh-CN"/>
          <w14:textFill>
            <w14:solidFill>
              <w14:schemeClr w14:val="tx1"/>
            </w14:solidFill>
          </w14:textFill>
        </w:rPr>
        <w:t>：</w:t>
      </w:r>
      <w:r>
        <w:rPr>
          <w:rFonts w:hint="eastAsia" w:ascii="仿宋_GB2312" w:hAnsi="仿宋_GB2312" w:eastAsia="仿宋_GB2312" w:cs="仿宋_GB2312"/>
          <w:b w:val="0"/>
          <w:color w:val="000000" w:themeColor="text1"/>
          <w:sz w:val="32"/>
          <w:szCs w:val="32"/>
          <w:u w:val="none"/>
          <w:lang w:val="en-US" w:eastAsia="zh-CN"/>
          <w14:textFill>
            <w14:solidFill>
              <w14:schemeClr w14:val="tx1"/>
            </w14:solidFill>
          </w14:textFill>
        </w:rPr>
        <w:t>于晓明  王  谦  张晓君  张  燕  李建林</w:t>
      </w:r>
    </w:p>
    <w:p w14:paraId="60A030A4">
      <w:pPr>
        <w:spacing w:line="500" w:lineRule="exact"/>
        <w:ind w:left="954" w:leftChars="88" w:hanging="320" w:hangingChars="100"/>
        <w:rPr>
          <w:rFonts w:hint="eastAsia" w:ascii="仿宋" w:hAnsi="仿宋" w:eastAsia="仿宋" w:cs="仿宋"/>
          <w:b w:val="0"/>
          <w:color w:val="000000" w:themeColor="text1"/>
          <w:sz w:val="32"/>
          <w:szCs w:val="32"/>
          <w:u w:val="none"/>
          <w14:textFill>
            <w14:solidFill>
              <w14:schemeClr w14:val="tx1"/>
            </w14:solidFill>
          </w14:textFill>
        </w:rPr>
      </w:pPr>
    </w:p>
    <w:p w14:paraId="4481472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ascii="Book Antiqua" w:hAnsi="Book Antiqua" w:eastAsia="隶书" w:cs="Times New Roman"/>
          <w:color w:val="000000" w:themeColor="text1"/>
          <w:kern w:val="44"/>
          <w:sz w:val="48"/>
          <w:szCs w:val="48"/>
          <w:u w:val="single"/>
          <w:lang w:val="zh-CN"/>
          <w14:textFill>
            <w14:solidFill>
              <w14:schemeClr w14:val="tx1"/>
            </w14:solidFill>
          </w14:textFill>
        </w:rPr>
        <w:sectPr>
          <w:footerReference r:id="rId5" w:type="default"/>
          <w:pgSz w:w="11906" w:h="16838"/>
          <w:pgMar w:top="2098" w:right="1474" w:bottom="1984" w:left="1474" w:header="851" w:footer="992" w:gutter="0"/>
          <w:pgNumType w:fmt="numberInDash"/>
          <w:cols w:space="425" w:num="1"/>
          <w:docGrid w:type="lines" w:linePitch="312" w:charSpace="0"/>
        </w:sectPr>
      </w:pPr>
    </w:p>
    <w:sdt>
      <w:sdtPr>
        <w:rPr>
          <w:rFonts w:ascii="Book Antiqua" w:hAnsi="Book Antiqua" w:eastAsia="隶书" w:cs="Times New Roman"/>
          <w:color w:val="000000" w:themeColor="text1"/>
          <w:kern w:val="44"/>
          <w:sz w:val="48"/>
          <w:szCs w:val="48"/>
          <w:u w:val="single"/>
          <w:lang w:val="zh-CN"/>
          <w14:textFill>
            <w14:solidFill>
              <w14:schemeClr w14:val="tx1"/>
            </w14:solidFill>
          </w14:textFill>
        </w:rPr>
        <w:id w:val="-796536979"/>
        <w:docPartObj>
          <w:docPartGallery w:val="Table of Contents"/>
          <w:docPartUnique/>
        </w:docPartObj>
      </w:sdtPr>
      <w:sdtEndPr>
        <w:rPr>
          <w:rFonts w:ascii="Book Antiqua" w:hAnsi="Book Antiqua" w:eastAsia="隶书" w:cs="Times New Roman"/>
          <w:color w:val="000000" w:themeColor="text1"/>
          <w:kern w:val="44"/>
          <w:sz w:val="72"/>
          <w:szCs w:val="24"/>
          <w:u w:val="single"/>
          <w:lang w:val="en-US"/>
          <w14:textFill>
            <w14:solidFill>
              <w14:schemeClr w14:val="tx1"/>
            </w14:solidFill>
          </w14:textFill>
        </w:rPr>
      </w:sdtEndPr>
      <w:sdtContent>
        <w:p w14:paraId="674DEFE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黑体" w:hAnsi="黑体" w:eastAsia="黑体" w:cs="黑体"/>
              <w:b/>
              <w:bCs/>
              <w:color w:val="auto"/>
              <w:kern w:val="44"/>
              <w:sz w:val="44"/>
              <w:szCs w:val="44"/>
              <w:u w:val="none"/>
              <w:lang w:val="zh-CN" w:eastAsia="zh-CN" w:bidi="ar-SA"/>
            </w:rPr>
          </w:pPr>
          <w:r>
            <w:rPr>
              <w:rFonts w:hint="eastAsia" w:ascii="黑体" w:hAnsi="黑体" w:eastAsia="黑体" w:cs="黑体"/>
              <w:b/>
              <w:bCs/>
              <w:color w:val="auto"/>
              <w:sz w:val="44"/>
              <w:szCs w:val="44"/>
              <w:u w:val="none"/>
              <w:lang w:val="zh-CN" w:eastAsia="zh-CN"/>
            </w:rPr>
            <w:t>目</w:t>
          </w:r>
          <w:r>
            <w:rPr>
              <w:rFonts w:hint="eastAsia" w:ascii="黑体" w:hAnsi="黑体" w:eastAsia="黑体" w:cs="黑体"/>
              <w:b/>
              <w:bCs/>
              <w:color w:val="auto"/>
              <w:sz w:val="44"/>
              <w:szCs w:val="44"/>
              <w:u w:val="none"/>
              <w:lang w:val="en-US" w:eastAsia="zh-CN"/>
            </w:rPr>
            <w:t xml:space="preserve">  </w:t>
          </w:r>
          <w:r>
            <w:rPr>
              <w:rFonts w:hint="eastAsia" w:ascii="黑体" w:hAnsi="黑体" w:eastAsia="黑体" w:cs="黑体"/>
              <w:b/>
              <w:bCs/>
              <w:color w:val="auto"/>
              <w:sz w:val="44"/>
              <w:szCs w:val="44"/>
              <w:u w:val="none"/>
              <w:lang w:val="zh-CN" w:eastAsia="zh-CN"/>
            </w:rPr>
            <w:t>录</w:t>
          </w:r>
        </w:p>
        <w:p w14:paraId="27F6192F">
          <w:pPr>
            <w:rPr>
              <w:color w:val="000000" w:themeColor="text1"/>
              <w:u w:val="none"/>
              <w:lang w:val="zh-CN"/>
              <w14:textFill>
                <w14:solidFill>
                  <w14:schemeClr w14:val="tx1"/>
                </w14:solidFill>
              </w14:textFill>
            </w:rPr>
          </w:pPr>
        </w:p>
        <w:p w14:paraId="431F28EE">
          <w:pPr>
            <w:pStyle w:val="25"/>
            <w:keepNext w:val="0"/>
            <w:keepLines w:val="0"/>
            <w:pageBreakBefore w:val="0"/>
            <w:widowControl w:val="0"/>
            <w:tabs>
              <w:tab w:val="right" w:leader="dot" w:pos="8296"/>
            </w:tabs>
            <w:kinsoku/>
            <w:wordWrap/>
            <w:overflowPunct/>
            <w:topLinePunct w:val="0"/>
            <w:autoSpaceDE/>
            <w:autoSpaceDN/>
            <w:bidi w:val="0"/>
            <w:adjustRightInd/>
            <w:snapToGrid w:val="0"/>
            <w:spacing w:before="0" w:line="560" w:lineRule="exact"/>
            <w:ind w:left="0" w:firstLine="640" w:firstLineChars="200"/>
            <w:textAlignment w:val="auto"/>
            <w:rPr>
              <w:rFonts w:asciiTheme="minorHAnsi" w:hAnsiTheme="minorHAnsi" w:eastAsiaTheme="minorEastAsia" w:cstheme="minorBidi"/>
              <w:color w:val="000000" w:themeColor="text1"/>
              <w:kern w:val="2"/>
              <w:sz w:val="32"/>
              <w:szCs w:val="32"/>
              <w:u w:val="none"/>
              <w14:textFill>
                <w14:solidFill>
                  <w14:schemeClr w14:val="tx1"/>
                </w14:solidFill>
              </w14:textFill>
            </w:rPr>
          </w:pPr>
          <w:r>
            <w:rPr>
              <w:color w:val="000000" w:themeColor="text1"/>
              <w:sz w:val="32"/>
              <w:szCs w:val="32"/>
              <w:u w:val="none"/>
              <w14:textFill>
                <w14:solidFill>
                  <w14:schemeClr w14:val="tx1"/>
                </w14:solidFill>
              </w14:textFill>
            </w:rPr>
            <w:fldChar w:fldCharType="begin"/>
          </w:r>
          <w:r>
            <w:rPr>
              <w:color w:val="000000" w:themeColor="text1"/>
              <w:sz w:val="32"/>
              <w:szCs w:val="32"/>
              <w:u w:val="none"/>
              <w14:textFill>
                <w14:solidFill>
                  <w14:schemeClr w14:val="tx1"/>
                </w14:solidFill>
              </w14:textFill>
            </w:rPr>
            <w:instrText xml:space="preserve"> TOC \o "1-3" \h \z \u </w:instrText>
          </w:r>
          <w:r>
            <w:rPr>
              <w:color w:val="000000" w:themeColor="text1"/>
              <w:sz w:val="32"/>
              <w:szCs w:val="32"/>
              <w:u w:val="none"/>
              <w14:textFill>
                <w14:solidFill>
                  <w14:schemeClr w14:val="tx1"/>
                </w14:solidFill>
              </w14:textFill>
            </w:rPr>
            <w:fldChar w:fldCharType="separate"/>
          </w:r>
          <w:r>
            <w:rPr>
              <w:sz w:val="32"/>
              <w:szCs w:val="32"/>
            </w:rPr>
            <w:fldChar w:fldCharType="begin"/>
          </w:r>
          <w:r>
            <w:rPr>
              <w:sz w:val="32"/>
              <w:szCs w:val="32"/>
            </w:rPr>
            <w:instrText xml:space="preserve"> HYPERLINK \l "_Toc159324930" </w:instrText>
          </w:r>
          <w:r>
            <w:rPr>
              <w:sz w:val="32"/>
              <w:szCs w:val="32"/>
            </w:rPr>
            <w:fldChar w:fldCharType="separate"/>
          </w:r>
          <w:r>
            <w:rPr>
              <w:rStyle w:val="37"/>
              <w:rFonts w:hint="default" w:ascii="黑体" w:hAnsi="黑体" w:eastAsia="黑体"/>
              <w:color w:val="000000" w:themeColor="text1"/>
              <w:sz w:val="32"/>
              <w:szCs w:val="32"/>
              <w14:textFill>
                <w14:solidFill>
                  <w14:schemeClr w14:val="tx1"/>
                </w14:solidFill>
              </w14:textFill>
            </w:rPr>
            <w:t>第一部分</w:t>
          </w:r>
          <w:r>
            <w:rPr>
              <w:rStyle w:val="37"/>
              <w:rFonts w:hint="eastAsia" w:ascii="黑体" w:hAnsi="黑体" w:eastAsia="黑体"/>
              <w:color w:val="000000" w:themeColor="text1"/>
              <w:sz w:val="32"/>
              <w:szCs w:val="32"/>
              <w:lang w:val="en-US" w:eastAsia="zh-CN"/>
              <w14:textFill>
                <w14:solidFill>
                  <w14:schemeClr w14:val="tx1"/>
                </w14:solidFill>
              </w14:textFill>
            </w:rPr>
            <w:t xml:space="preserve">  </w:t>
          </w:r>
          <w:r>
            <w:rPr>
              <w:rStyle w:val="37"/>
              <w:rFonts w:hint="default" w:ascii="黑体" w:hAnsi="黑体" w:eastAsia="黑体"/>
              <w:color w:val="000000" w:themeColor="text1"/>
              <w:sz w:val="32"/>
              <w:szCs w:val="32"/>
              <w14:textFill>
                <w14:solidFill>
                  <w14:schemeClr w14:val="tx1"/>
                </w14:solidFill>
              </w14:textFill>
            </w:rPr>
            <w:t>建筑专业</w:t>
          </w:r>
          <w:r>
            <w:rPr>
              <w:color w:val="000000" w:themeColor="text1"/>
              <w:sz w:val="32"/>
              <w:szCs w:val="32"/>
              <w:u w:val="none"/>
              <w14:textFill>
                <w14:solidFill>
                  <w14:schemeClr w14:val="tx1"/>
                </w14:solidFill>
              </w14:textFill>
            </w:rPr>
            <w:tab/>
          </w:r>
          <w:r>
            <w:rPr>
              <w:rFonts w:hint="eastAsia"/>
              <w:color w:val="000000" w:themeColor="text1"/>
              <w:sz w:val="32"/>
              <w:szCs w:val="32"/>
              <w:u w:val="none"/>
              <w:lang w:val="en-US" w:eastAsia="zh-CN"/>
              <w14:textFill>
                <w14:solidFill>
                  <w14:schemeClr w14:val="tx1"/>
                </w14:solidFill>
              </w14:textFill>
            </w:rPr>
            <w:t>1</w:t>
          </w:r>
          <w:r>
            <w:rPr>
              <w:color w:val="000000" w:themeColor="text1"/>
              <w:sz w:val="32"/>
              <w:szCs w:val="32"/>
              <w14:textFill>
                <w14:solidFill>
                  <w14:schemeClr w14:val="tx1"/>
                </w14:solidFill>
              </w14:textFill>
            </w:rPr>
            <w:fldChar w:fldCharType="end"/>
          </w:r>
        </w:p>
        <w:p w14:paraId="55B79E36">
          <w:pPr>
            <w:pStyle w:val="25"/>
            <w:keepNext w:val="0"/>
            <w:keepLines w:val="0"/>
            <w:pageBreakBefore w:val="0"/>
            <w:widowControl w:val="0"/>
            <w:tabs>
              <w:tab w:val="right" w:leader="dot" w:pos="8296"/>
            </w:tabs>
            <w:kinsoku/>
            <w:wordWrap/>
            <w:overflowPunct/>
            <w:topLinePunct w:val="0"/>
            <w:autoSpaceDE/>
            <w:autoSpaceDN/>
            <w:bidi w:val="0"/>
            <w:adjustRightInd/>
            <w:snapToGrid w:val="0"/>
            <w:spacing w:before="0" w:line="560" w:lineRule="exact"/>
            <w:ind w:left="0" w:firstLine="640" w:firstLineChars="200"/>
            <w:textAlignment w:val="auto"/>
            <w:rPr>
              <w:rFonts w:hint="eastAsia" w:eastAsia="宋体" w:asciiTheme="minorHAnsi" w:hAnsiTheme="minorHAnsi" w:cstheme="minorBidi"/>
              <w:color w:val="000000" w:themeColor="text1"/>
              <w:kern w:val="2"/>
              <w:sz w:val="32"/>
              <w:szCs w:val="32"/>
              <w:u w:val="none"/>
              <w:lang w:val="en-US" w:eastAsia="zh-CN"/>
              <w14:textFill>
                <w14:solidFill>
                  <w14:schemeClr w14:val="tx1"/>
                </w14:solidFill>
              </w14:textFill>
            </w:rPr>
          </w:pPr>
          <w:r>
            <w:rPr>
              <w:sz w:val="32"/>
              <w:szCs w:val="32"/>
            </w:rPr>
            <w:fldChar w:fldCharType="begin"/>
          </w:r>
          <w:r>
            <w:rPr>
              <w:sz w:val="32"/>
              <w:szCs w:val="32"/>
            </w:rPr>
            <w:instrText xml:space="preserve"> HYPERLINK \l "_Toc159324931" </w:instrText>
          </w:r>
          <w:r>
            <w:rPr>
              <w:sz w:val="32"/>
              <w:szCs w:val="32"/>
            </w:rPr>
            <w:fldChar w:fldCharType="separate"/>
          </w:r>
          <w:r>
            <w:rPr>
              <w:rStyle w:val="37"/>
              <w:rFonts w:hint="default" w:ascii="黑体" w:hAnsi="黑体" w:eastAsia="黑体"/>
              <w:color w:val="000000" w:themeColor="text1"/>
              <w:sz w:val="32"/>
              <w:szCs w:val="32"/>
              <w14:textFill>
                <w14:solidFill>
                  <w14:schemeClr w14:val="tx1"/>
                </w14:solidFill>
              </w14:textFill>
            </w:rPr>
            <w:t>第二部分</w:t>
          </w:r>
          <w:r>
            <w:rPr>
              <w:rStyle w:val="37"/>
              <w:rFonts w:hint="eastAsia" w:ascii="黑体" w:hAnsi="黑体" w:eastAsia="黑体"/>
              <w:color w:val="000000" w:themeColor="text1"/>
              <w:sz w:val="32"/>
              <w:szCs w:val="32"/>
              <w:lang w:val="en-US" w:eastAsia="zh-CN"/>
              <w14:textFill>
                <w14:solidFill>
                  <w14:schemeClr w14:val="tx1"/>
                </w14:solidFill>
              </w14:textFill>
            </w:rPr>
            <w:t xml:space="preserve">  </w:t>
          </w:r>
          <w:r>
            <w:rPr>
              <w:rStyle w:val="37"/>
              <w:rFonts w:hint="default" w:ascii="黑体" w:hAnsi="黑体" w:eastAsia="黑体"/>
              <w:color w:val="000000" w:themeColor="text1"/>
              <w:sz w:val="32"/>
              <w:szCs w:val="32"/>
              <w14:textFill>
                <w14:solidFill>
                  <w14:schemeClr w14:val="tx1"/>
                </w14:solidFill>
              </w14:textFill>
            </w:rPr>
            <w:t>给排水专业</w:t>
          </w:r>
          <w:r>
            <w:rPr>
              <w:color w:val="000000" w:themeColor="text1"/>
              <w:sz w:val="32"/>
              <w:szCs w:val="32"/>
              <w:u w:val="none"/>
              <w14:textFill>
                <w14:solidFill>
                  <w14:schemeClr w14:val="tx1"/>
                </w14:solidFill>
              </w14:textFill>
            </w:rPr>
            <w:tab/>
          </w:r>
          <w:r>
            <w:rPr>
              <w:color w:val="000000" w:themeColor="text1"/>
              <w:sz w:val="32"/>
              <w:szCs w:val="32"/>
              <w:u w:val="none"/>
              <w14:textFill>
                <w14:solidFill>
                  <w14:schemeClr w14:val="tx1"/>
                </w14:solidFill>
              </w14:textFill>
            </w:rPr>
            <w:fldChar w:fldCharType="begin"/>
          </w:r>
          <w:r>
            <w:rPr>
              <w:color w:val="000000" w:themeColor="text1"/>
              <w:sz w:val="32"/>
              <w:szCs w:val="32"/>
              <w:u w:val="none"/>
              <w14:textFill>
                <w14:solidFill>
                  <w14:schemeClr w14:val="tx1"/>
                </w14:solidFill>
              </w14:textFill>
            </w:rPr>
            <w:instrText xml:space="preserve"> PAGEREF _Toc159324931 \h </w:instrText>
          </w:r>
          <w:r>
            <w:rPr>
              <w:color w:val="000000" w:themeColor="text1"/>
              <w:sz w:val="32"/>
              <w:szCs w:val="32"/>
              <w:u w:val="none"/>
              <w14:textFill>
                <w14:solidFill>
                  <w14:schemeClr w14:val="tx1"/>
                </w14:solidFill>
              </w14:textFill>
            </w:rPr>
            <w:fldChar w:fldCharType="separate"/>
          </w:r>
          <w:r>
            <w:rPr>
              <w:color w:val="000000" w:themeColor="text1"/>
              <w:sz w:val="32"/>
              <w:szCs w:val="32"/>
              <w:u w:val="none"/>
              <w14:textFill>
                <w14:solidFill>
                  <w14:schemeClr w14:val="tx1"/>
                </w14:solidFill>
              </w14:textFill>
            </w:rPr>
            <w:t>1</w:t>
          </w:r>
          <w:r>
            <w:rPr>
              <w:color w:val="000000" w:themeColor="text1"/>
              <w:sz w:val="32"/>
              <w:szCs w:val="32"/>
              <w:u w:val="none"/>
              <w14:textFill>
                <w14:solidFill>
                  <w14:schemeClr w14:val="tx1"/>
                </w14:solidFill>
              </w14:textFill>
            </w:rPr>
            <w:fldChar w:fldCharType="end"/>
          </w:r>
          <w:r>
            <w:rPr>
              <w:color w:val="000000" w:themeColor="text1"/>
              <w:sz w:val="32"/>
              <w:szCs w:val="32"/>
              <w14:textFill>
                <w14:solidFill>
                  <w14:schemeClr w14:val="tx1"/>
                </w14:solidFill>
              </w14:textFill>
            </w:rPr>
            <w:fldChar w:fldCharType="end"/>
          </w:r>
          <w:r>
            <w:rPr>
              <w:rFonts w:hint="eastAsia"/>
              <w:color w:val="000000" w:themeColor="text1"/>
              <w:sz w:val="32"/>
              <w:szCs w:val="32"/>
              <w:u w:val="none"/>
              <w:lang w:val="en-US" w:eastAsia="zh-CN"/>
              <w14:textFill>
                <w14:solidFill>
                  <w14:schemeClr w14:val="tx1"/>
                </w14:solidFill>
              </w14:textFill>
            </w:rPr>
            <w:t>7</w:t>
          </w:r>
        </w:p>
        <w:p w14:paraId="30A27DCA">
          <w:pPr>
            <w:pStyle w:val="25"/>
            <w:keepNext w:val="0"/>
            <w:keepLines w:val="0"/>
            <w:pageBreakBefore w:val="0"/>
            <w:widowControl w:val="0"/>
            <w:tabs>
              <w:tab w:val="right" w:leader="dot" w:pos="8296"/>
            </w:tabs>
            <w:kinsoku/>
            <w:wordWrap/>
            <w:overflowPunct/>
            <w:topLinePunct w:val="0"/>
            <w:autoSpaceDE/>
            <w:autoSpaceDN/>
            <w:bidi w:val="0"/>
            <w:adjustRightInd/>
            <w:snapToGrid w:val="0"/>
            <w:spacing w:before="0" w:line="560" w:lineRule="exact"/>
            <w:ind w:left="0" w:firstLine="640" w:firstLineChars="200"/>
            <w:textAlignment w:val="auto"/>
            <w:rPr>
              <w:rFonts w:asciiTheme="minorHAnsi" w:hAnsiTheme="minorHAnsi" w:eastAsiaTheme="minorEastAsia" w:cstheme="minorBidi"/>
              <w:color w:val="000000" w:themeColor="text1"/>
              <w:kern w:val="2"/>
              <w:sz w:val="32"/>
              <w:szCs w:val="32"/>
              <w:u w:val="none"/>
              <w14:textFill>
                <w14:solidFill>
                  <w14:schemeClr w14:val="tx1"/>
                </w14:solidFill>
              </w14:textFill>
            </w:rPr>
          </w:pPr>
          <w:r>
            <w:rPr>
              <w:sz w:val="32"/>
              <w:szCs w:val="32"/>
            </w:rPr>
            <w:fldChar w:fldCharType="begin"/>
          </w:r>
          <w:r>
            <w:rPr>
              <w:sz w:val="32"/>
              <w:szCs w:val="32"/>
            </w:rPr>
            <w:instrText xml:space="preserve"> HYPERLINK \l "_Toc159324932" </w:instrText>
          </w:r>
          <w:r>
            <w:rPr>
              <w:sz w:val="32"/>
              <w:szCs w:val="32"/>
            </w:rPr>
            <w:fldChar w:fldCharType="separate"/>
          </w:r>
          <w:r>
            <w:rPr>
              <w:rStyle w:val="37"/>
              <w:rFonts w:hint="default" w:ascii="黑体" w:hAnsi="黑体" w:eastAsia="黑体"/>
              <w:color w:val="000000" w:themeColor="text1"/>
              <w:sz w:val="32"/>
              <w:szCs w:val="32"/>
              <w14:textFill>
                <w14:solidFill>
                  <w14:schemeClr w14:val="tx1"/>
                </w14:solidFill>
              </w14:textFill>
            </w:rPr>
            <w:t>第三部分</w:t>
          </w:r>
          <w:r>
            <w:rPr>
              <w:rStyle w:val="37"/>
              <w:rFonts w:hint="eastAsia" w:ascii="黑体" w:hAnsi="黑体" w:eastAsia="黑体"/>
              <w:color w:val="000000" w:themeColor="text1"/>
              <w:sz w:val="32"/>
              <w:szCs w:val="32"/>
              <w:lang w:val="en-US" w:eastAsia="zh-CN"/>
              <w14:textFill>
                <w14:solidFill>
                  <w14:schemeClr w14:val="tx1"/>
                </w14:solidFill>
              </w14:textFill>
            </w:rPr>
            <w:t xml:space="preserve">  </w:t>
          </w:r>
          <w:r>
            <w:rPr>
              <w:rStyle w:val="37"/>
              <w:rFonts w:hint="default" w:ascii="黑体" w:hAnsi="黑体" w:eastAsia="黑体"/>
              <w:color w:val="000000" w:themeColor="text1"/>
              <w:sz w:val="32"/>
              <w:szCs w:val="32"/>
              <w14:textFill>
                <w14:solidFill>
                  <w14:schemeClr w14:val="tx1"/>
                </w14:solidFill>
              </w14:textFill>
            </w:rPr>
            <w:t>暖通专业</w:t>
          </w:r>
          <w:r>
            <w:rPr>
              <w:color w:val="000000" w:themeColor="text1"/>
              <w:sz w:val="32"/>
              <w:szCs w:val="32"/>
              <w:u w:val="none"/>
              <w14:textFill>
                <w14:solidFill>
                  <w14:schemeClr w14:val="tx1"/>
                </w14:solidFill>
              </w14:textFill>
            </w:rPr>
            <w:tab/>
          </w:r>
          <w:r>
            <w:rPr>
              <w:color w:val="000000" w:themeColor="text1"/>
              <w:sz w:val="32"/>
              <w:szCs w:val="32"/>
              <w:u w:val="none"/>
              <w14:textFill>
                <w14:solidFill>
                  <w14:schemeClr w14:val="tx1"/>
                </w14:solidFill>
              </w14:textFill>
            </w:rPr>
            <w:fldChar w:fldCharType="begin"/>
          </w:r>
          <w:r>
            <w:rPr>
              <w:color w:val="000000" w:themeColor="text1"/>
              <w:sz w:val="32"/>
              <w:szCs w:val="32"/>
              <w:u w:val="none"/>
              <w14:textFill>
                <w14:solidFill>
                  <w14:schemeClr w14:val="tx1"/>
                </w14:solidFill>
              </w14:textFill>
            </w:rPr>
            <w:instrText xml:space="preserve"> PAGEREF _Toc159324932 \h </w:instrText>
          </w:r>
          <w:r>
            <w:rPr>
              <w:color w:val="000000" w:themeColor="text1"/>
              <w:sz w:val="32"/>
              <w:szCs w:val="32"/>
              <w:u w:val="none"/>
              <w14:textFill>
                <w14:solidFill>
                  <w14:schemeClr w14:val="tx1"/>
                </w14:solidFill>
              </w14:textFill>
            </w:rPr>
            <w:fldChar w:fldCharType="separate"/>
          </w:r>
          <w:r>
            <w:rPr>
              <w:color w:val="000000" w:themeColor="text1"/>
              <w:sz w:val="32"/>
              <w:szCs w:val="32"/>
              <w:u w:val="none"/>
              <w14:textFill>
                <w14:solidFill>
                  <w14:schemeClr w14:val="tx1"/>
                </w14:solidFill>
              </w14:textFill>
            </w:rPr>
            <w:t>2</w:t>
          </w:r>
          <w:r>
            <w:rPr>
              <w:rFonts w:hint="eastAsia"/>
              <w:color w:val="000000" w:themeColor="text1"/>
              <w:sz w:val="32"/>
              <w:szCs w:val="32"/>
              <w:u w:val="none"/>
              <w:lang w:val="en-US" w:eastAsia="zh-CN"/>
              <w14:textFill>
                <w14:solidFill>
                  <w14:schemeClr w14:val="tx1"/>
                </w14:solidFill>
              </w14:textFill>
            </w:rPr>
            <w:t>1</w:t>
          </w:r>
          <w:r>
            <w:rPr>
              <w:color w:val="000000" w:themeColor="text1"/>
              <w:sz w:val="32"/>
              <w:szCs w:val="32"/>
              <w:u w:val="none"/>
              <w14:textFill>
                <w14:solidFill>
                  <w14:schemeClr w14:val="tx1"/>
                </w14:solidFill>
              </w14:textFill>
            </w:rPr>
            <w:fldChar w:fldCharType="end"/>
          </w:r>
          <w:r>
            <w:rPr>
              <w:color w:val="000000" w:themeColor="text1"/>
              <w:sz w:val="32"/>
              <w:szCs w:val="32"/>
              <w14:textFill>
                <w14:solidFill>
                  <w14:schemeClr w14:val="tx1"/>
                </w14:solidFill>
              </w14:textFill>
            </w:rPr>
            <w:fldChar w:fldCharType="end"/>
          </w:r>
        </w:p>
        <w:p w14:paraId="4E938A52">
          <w:pPr>
            <w:pStyle w:val="25"/>
            <w:keepNext w:val="0"/>
            <w:keepLines w:val="0"/>
            <w:pageBreakBefore w:val="0"/>
            <w:widowControl w:val="0"/>
            <w:tabs>
              <w:tab w:val="right" w:leader="dot" w:pos="8296"/>
            </w:tabs>
            <w:kinsoku/>
            <w:wordWrap/>
            <w:overflowPunct/>
            <w:topLinePunct w:val="0"/>
            <w:autoSpaceDE/>
            <w:autoSpaceDN/>
            <w:bidi w:val="0"/>
            <w:adjustRightInd/>
            <w:snapToGrid w:val="0"/>
            <w:spacing w:before="0" w:line="560" w:lineRule="exact"/>
            <w:ind w:left="0" w:firstLine="640" w:firstLineChars="200"/>
            <w:textAlignment w:val="auto"/>
            <w:rPr>
              <w:rFonts w:hint="eastAsia" w:eastAsia="宋体" w:asciiTheme="minorHAnsi" w:hAnsiTheme="minorHAnsi" w:cstheme="minorBidi"/>
              <w:color w:val="000000" w:themeColor="text1"/>
              <w:kern w:val="2"/>
              <w:sz w:val="32"/>
              <w:szCs w:val="32"/>
              <w:u w:val="none"/>
              <w:lang w:val="en-US" w:eastAsia="zh-CN"/>
              <w14:textFill>
                <w14:solidFill>
                  <w14:schemeClr w14:val="tx1"/>
                </w14:solidFill>
              </w14:textFill>
            </w:rPr>
          </w:pPr>
          <w:r>
            <w:rPr>
              <w:sz w:val="32"/>
              <w:szCs w:val="32"/>
            </w:rPr>
            <w:fldChar w:fldCharType="begin"/>
          </w:r>
          <w:r>
            <w:rPr>
              <w:sz w:val="32"/>
              <w:szCs w:val="32"/>
            </w:rPr>
            <w:instrText xml:space="preserve"> HYPERLINK \l "_Toc159324933" </w:instrText>
          </w:r>
          <w:r>
            <w:rPr>
              <w:sz w:val="32"/>
              <w:szCs w:val="32"/>
            </w:rPr>
            <w:fldChar w:fldCharType="separate"/>
          </w:r>
          <w:r>
            <w:rPr>
              <w:rStyle w:val="37"/>
              <w:rFonts w:hint="default" w:ascii="黑体" w:hAnsi="黑体" w:eastAsia="黑体"/>
              <w:color w:val="000000" w:themeColor="text1"/>
              <w:sz w:val="32"/>
              <w:szCs w:val="32"/>
              <w14:textFill>
                <w14:solidFill>
                  <w14:schemeClr w14:val="tx1"/>
                </w14:solidFill>
              </w14:textFill>
            </w:rPr>
            <w:t>第四部分</w:t>
          </w:r>
          <w:r>
            <w:rPr>
              <w:rStyle w:val="37"/>
              <w:rFonts w:hint="eastAsia" w:ascii="黑体" w:hAnsi="黑体" w:eastAsia="黑体"/>
              <w:color w:val="000000" w:themeColor="text1"/>
              <w:sz w:val="32"/>
              <w:szCs w:val="32"/>
              <w:lang w:val="en-US" w:eastAsia="zh-CN"/>
              <w14:textFill>
                <w14:solidFill>
                  <w14:schemeClr w14:val="tx1"/>
                </w14:solidFill>
              </w14:textFill>
            </w:rPr>
            <w:t xml:space="preserve">  </w:t>
          </w:r>
          <w:r>
            <w:rPr>
              <w:rStyle w:val="37"/>
              <w:rFonts w:hint="default" w:ascii="黑体" w:hAnsi="黑体" w:eastAsia="黑体"/>
              <w:color w:val="000000" w:themeColor="text1"/>
              <w:sz w:val="32"/>
              <w:szCs w:val="32"/>
              <w14:textFill>
                <w14:solidFill>
                  <w14:schemeClr w14:val="tx1"/>
                </w14:solidFill>
              </w14:textFill>
            </w:rPr>
            <w:t>电气专业</w:t>
          </w:r>
          <w:r>
            <w:rPr>
              <w:color w:val="000000" w:themeColor="text1"/>
              <w:sz w:val="32"/>
              <w:szCs w:val="32"/>
              <w:u w:val="none"/>
              <w14:textFill>
                <w14:solidFill>
                  <w14:schemeClr w14:val="tx1"/>
                </w14:solidFill>
              </w14:textFill>
            </w:rPr>
            <w:tab/>
          </w:r>
          <w:r>
            <w:rPr>
              <w:rFonts w:hint="eastAsia"/>
              <w:color w:val="000000" w:themeColor="text1"/>
              <w:sz w:val="32"/>
              <w:szCs w:val="32"/>
              <w:u w:val="none"/>
              <w:lang w:val="en-US" w:eastAsia="zh-CN"/>
              <w14:textFill>
                <w14:solidFill>
                  <w14:schemeClr w14:val="tx1"/>
                </w14:solidFill>
              </w14:textFill>
            </w:rPr>
            <w:t>2</w:t>
          </w:r>
          <w:r>
            <w:rPr>
              <w:color w:val="000000" w:themeColor="text1"/>
              <w:sz w:val="32"/>
              <w:szCs w:val="32"/>
              <w14:textFill>
                <w14:solidFill>
                  <w14:schemeClr w14:val="tx1"/>
                </w14:solidFill>
              </w14:textFill>
            </w:rPr>
            <w:fldChar w:fldCharType="end"/>
          </w:r>
          <w:r>
            <w:rPr>
              <w:rFonts w:hint="eastAsia"/>
              <w:color w:val="000000" w:themeColor="text1"/>
              <w:sz w:val="32"/>
              <w:szCs w:val="32"/>
              <w:u w:val="none"/>
              <w:lang w:val="en-US" w:eastAsia="zh-CN"/>
              <w14:textFill>
                <w14:solidFill>
                  <w14:schemeClr w14:val="tx1"/>
                </w14:solidFill>
              </w14:textFill>
            </w:rPr>
            <w:t>6</w:t>
          </w:r>
        </w:p>
        <w:p w14:paraId="16BDB7F9">
          <w:pPr>
            <w:keepNext w:val="0"/>
            <w:keepLines w:val="0"/>
            <w:pageBreakBefore w:val="0"/>
            <w:widowControl w:val="0"/>
            <w:kinsoku/>
            <w:wordWrap/>
            <w:overflowPunct/>
            <w:topLinePunct w:val="0"/>
            <w:autoSpaceDE/>
            <w:autoSpaceDN/>
            <w:bidi w:val="0"/>
            <w:adjustRightInd/>
            <w:snapToGrid w:val="0"/>
            <w:spacing w:line="560" w:lineRule="exact"/>
            <w:ind w:left="0" w:firstLine="643" w:firstLineChars="200"/>
            <w:textAlignment w:val="auto"/>
            <w:rPr>
              <w:color w:val="000000" w:themeColor="text1"/>
              <w14:textFill>
                <w14:solidFill>
                  <w14:schemeClr w14:val="tx1"/>
                </w14:solidFill>
              </w14:textFill>
            </w:rPr>
          </w:pPr>
          <w:r>
            <w:rPr>
              <w:color w:val="000000" w:themeColor="text1"/>
              <w:sz w:val="32"/>
              <w:szCs w:val="32"/>
              <w:u w:val="none"/>
              <w14:textFill>
                <w14:solidFill>
                  <w14:schemeClr w14:val="tx1"/>
                </w14:solidFill>
              </w14:textFill>
            </w:rPr>
            <w:fldChar w:fldCharType="end"/>
          </w:r>
        </w:p>
      </w:sdtContent>
    </w:sdt>
    <w:p w14:paraId="01AD9AE6">
      <w:pPr>
        <w:pStyle w:val="119"/>
        <w:rPr>
          <w:rFonts w:hint="eastAsia"/>
          <w:color w:val="000000" w:themeColor="text1"/>
          <w14:textFill>
            <w14:solidFill>
              <w14:schemeClr w14:val="tx1"/>
            </w14:solidFill>
          </w14:textFill>
        </w:rPr>
      </w:pPr>
    </w:p>
    <w:p w14:paraId="27925B3F">
      <w:pPr>
        <w:pStyle w:val="119"/>
        <w:rPr>
          <w:rFonts w:hint="eastAsia"/>
          <w:color w:val="000000" w:themeColor="text1"/>
          <w14:textFill>
            <w14:solidFill>
              <w14:schemeClr w14:val="tx1"/>
            </w14:solidFill>
          </w14:textFill>
        </w:rPr>
      </w:pPr>
    </w:p>
    <w:p w14:paraId="7A7DD3D0">
      <w:pPr>
        <w:pStyle w:val="119"/>
        <w:rPr>
          <w:rFonts w:hint="eastAsia"/>
          <w:color w:val="000000" w:themeColor="text1"/>
          <w14:textFill>
            <w14:solidFill>
              <w14:schemeClr w14:val="tx1"/>
            </w14:solidFill>
          </w14:textFill>
        </w:rPr>
      </w:pPr>
    </w:p>
    <w:p w14:paraId="0D646612">
      <w:pPr>
        <w:pStyle w:val="119"/>
        <w:rPr>
          <w:rFonts w:hint="eastAsia"/>
          <w:color w:val="000000" w:themeColor="text1"/>
          <w14:textFill>
            <w14:solidFill>
              <w14:schemeClr w14:val="tx1"/>
            </w14:solidFill>
          </w14:textFill>
        </w:rPr>
      </w:pPr>
    </w:p>
    <w:p w14:paraId="6E6203D5">
      <w:pPr>
        <w:pStyle w:val="119"/>
        <w:rPr>
          <w:rFonts w:hint="eastAsia"/>
          <w:color w:val="000000" w:themeColor="text1"/>
          <w14:textFill>
            <w14:solidFill>
              <w14:schemeClr w14:val="tx1"/>
            </w14:solidFill>
          </w14:textFill>
        </w:rPr>
      </w:pPr>
    </w:p>
    <w:p w14:paraId="58B409D6">
      <w:pPr>
        <w:pStyle w:val="119"/>
        <w:rPr>
          <w:rFonts w:hint="eastAsia"/>
          <w:color w:val="000000" w:themeColor="text1"/>
          <w14:textFill>
            <w14:solidFill>
              <w14:schemeClr w14:val="tx1"/>
            </w14:solidFill>
          </w14:textFill>
        </w:rPr>
      </w:pPr>
    </w:p>
    <w:p w14:paraId="23CC18FE">
      <w:pPr>
        <w:pStyle w:val="119"/>
        <w:rPr>
          <w:rFonts w:hint="eastAsia"/>
          <w:color w:val="000000" w:themeColor="text1"/>
          <w14:textFill>
            <w14:solidFill>
              <w14:schemeClr w14:val="tx1"/>
            </w14:solidFill>
          </w14:textFill>
        </w:rPr>
      </w:pPr>
    </w:p>
    <w:p w14:paraId="45C0BC82">
      <w:pPr>
        <w:pStyle w:val="119"/>
        <w:rPr>
          <w:rFonts w:hint="eastAsia"/>
          <w:color w:val="000000" w:themeColor="text1"/>
          <w14:textFill>
            <w14:solidFill>
              <w14:schemeClr w14:val="tx1"/>
            </w14:solidFill>
          </w14:textFill>
        </w:rPr>
      </w:pPr>
    </w:p>
    <w:p w14:paraId="2EBC8594">
      <w:pPr>
        <w:pStyle w:val="119"/>
        <w:rPr>
          <w:rFonts w:hint="eastAsia"/>
          <w:color w:val="000000" w:themeColor="text1"/>
          <w14:textFill>
            <w14:solidFill>
              <w14:schemeClr w14:val="tx1"/>
            </w14:solidFill>
          </w14:textFill>
        </w:rPr>
      </w:pPr>
    </w:p>
    <w:p w14:paraId="3C7CC11F">
      <w:pPr>
        <w:pStyle w:val="119"/>
        <w:rPr>
          <w:rFonts w:hint="eastAsia"/>
          <w:color w:val="000000" w:themeColor="text1"/>
          <w14:textFill>
            <w14:solidFill>
              <w14:schemeClr w14:val="tx1"/>
            </w14:solidFill>
          </w14:textFill>
        </w:rPr>
      </w:pPr>
    </w:p>
    <w:p w14:paraId="7D7151C7">
      <w:pPr>
        <w:pStyle w:val="119"/>
        <w:rPr>
          <w:rFonts w:hint="eastAsia"/>
          <w:color w:val="000000" w:themeColor="text1"/>
          <w14:textFill>
            <w14:solidFill>
              <w14:schemeClr w14:val="tx1"/>
            </w14:solidFill>
          </w14:textFill>
        </w:rPr>
      </w:pPr>
    </w:p>
    <w:p w14:paraId="76FDE61C">
      <w:pPr>
        <w:pStyle w:val="119"/>
        <w:rPr>
          <w:rFonts w:hint="eastAsia"/>
          <w:color w:val="000000" w:themeColor="text1"/>
          <w14:textFill>
            <w14:solidFill>
              <w14:schemeClr w14:val="tx1"/>
            </w14:solidFill>
          </w14:textFill>
        </w:rPr>
      </w:pPr>
    </w:p>
    <w:p w14:paraId="2A2FE99C">
      <w:pPr>
        <w:pStyle w:val="119"/>
        <w:rPr>
          <w:rFonts w:hint="eastAsia"/>
          <w:color w:val="000000" w:themeColor="text1"/>
          <w14:textFill>
            <w14:solidFill>
              <w14:schemeClr w14:val="tx1"/>
            </w14:solidFill>
          </w14:textFill>
        </w:rPr>
      </w:pPr>
    </w:p>
    <w:p w14:paraId="7DA86D39">
      <w:pPr>
        <w:pStyle w:val="119"/>
        <w:rPr>
          <w:rFonts w:hint="eastAsia"/>
          <w:color w:val="000000" w:themeColor="text1"/>
          <w14:textFill>
            <w14:solidFill>
              <w14:schemeClr w14:val="tx1"/>
            </w14:solidFill>
          </w14:textFill>
        </w:rPr>
      </w:pPr>
    </w:p>
    <w:p w14:paraId="533991D1">
      <w:pPr>
        <w:pStyle w:val="61"/>
        <w:jc w:val="center"/>
        <w:rPr>
          <w:rFonts w:hint="eastAsia" w:ascii="黑体" w:hAnsi="黑体" w:eastAsia="黑体" w:cs="黑体"/>
          <w:sz w:val="36"/>
          <w:szCs w:val="36"/>
        </w:rPr>
        <w:sectPr>
          <w:footerReference r:id="rId6" w:type="default"/>
          <w:pgSz w:w="11906" w:h="16838"/>
          <w:pgMar w:top="2098" w:right="1474" w:bottom="1984" w:left="1474" w:header="851" w:footer="992" w:gutter="0"/>
          <w:pgNumType w:fmt="numberInDash"/>
          <w:cols w:space="425" w:num="1"/>
          <w:docGrid w:type="lines" w:linePitch="312" w:charSpace="0"/>
        </w:sectPr>
      </w:pPr>
      <w:bookmarkStart w:id="6" w:name="_Toc159324930"/>
    </w:p>
    <w:p w14:paraId="56501FC0">
      <w:pPr>
        <w:pStyle w:val="61"/>
        <w:jc w:val="center"/>
        <w:rPr>
          <w:rFonts w:hint="eastAsia" w:ascii="黑体" w:hAnsi="黑体" w:eastAsia="黑体" w:cs="黑体"/>
          <w:sz w:val="36"/>
          <w:szCs w:val="36"/>
        </w:rPr>
        <w:sectPr>
          <w:footerReference r:id="rId7" w:type="default"/>
          <w:pgSz w:w="11906" w:h="16838"/>
          <w:pgMar w:top="2098" w:right="1474" w:bottom="1984" w:left="1474" w:header="851" w:footer="992" w:gutter="0"/>
          <w:pgNumType w:fmt="numberInDash"/>
          <w:cols w:space="425" w:num="1"/>
          <w:docGrid w:type="lines" w:linePitch="312" w:charSpace="0"/>
        </w:sectPr>
      </w:pPr>
    </w:p>
    <w:p w14:paraId="55E8088B">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p>
    <w:p w14:paraId="27E85670">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r>
        <w:rPr>
          <w:rFonts w:hint="eastAsia" w:ascii="黑体" w:hAnsi="黑体" w:eastAsia="黑体" w:cs="黑体"/>
          <w:sz w:val="36"/>
          <w:szCs w:val="36"/>
        </w:rPr>
        <w:t>第一部分</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建筑</w:t>
      </w:r>
      <w:bookmarkEnd w:id="6"/>
      <w:r>
        <w:rPr>
          <w:rFonts w:hint="eastAsia" w:ascii="黑体" w:hAnsi="黑体" w:eastAsia="黑体" w:cs="黑体"/>
          <w:sz w:val="36"/>
          <w:szCs w:val="36"/>
        </w:rPr>
        <w:t>专业</w:t>
      </w:r>
    </w:p>
    <w:p w14:paraId="7BB1911B">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p>
    <w:p w14:paraId="174016B2">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1.1消防救援口、室外疏散楼梯、住宅建筑两单元之间的室外连廊与机械排烟出口是否有水平或者垂直距离要求？</w:t>
      </w:r>
    </w:p>
    <w:p w14:paraId="2234FF86">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现行消防技术规范未对消防救援口、室外疏散楼梯、住宅建筑两单元之间的室外连廊与机械排烟出口的水平或者垂直距离作出要求。建筑防火应安全适用、技术先进、经济合理。要根据建筑物的使用功能、空间与平面特征和使用人员的特点，采取提高本质安全的防火措施和控制火源的措施，通过合理确定建筑物的平面布局及必要的防火分隔等设施，保障人员疏散的安全性，实现建筑防火的目标。</w:t>
      </w:r>
    </w:p>
    <w:p w14:paraId="73FA0109">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消防救援口作为救援人员火灾时进入建筑物救援的重要通道，室外疏散楼梯、室外疏散连廊作为人员安全疏散通道，不应设置在机械排烟出口正上方，可参照水平距离不小于2.0m、垂直直线距离不应小于6.0m执行。</w:t>
      </w:r>
    </w:p>
    <w:p w14:paraId="69092F6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室外疏散楼梯周围2.0m内不应设置机械排烟出口。</w:t>
      </w:r>
    </w:p>
    <w:p w14:paraId="23D511FB">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t>1.2</w:t>
      </w:r>
      <w:r>
        <w:rPr>
          <w:rFonts w:hint="eastAsia"/>
        </w:rPr>
        <w:t>汽车库出入口正对消防车登高操作场地时如何要求？</w:t>
      </w:r>
    </w:p>
    <w:p w14:paraId="448A956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依据《建筑设计防火规范》GB50016-2014（2018版）第7.2.2第1款的规定“场地与厂房、仓库、民用建筑之间不应设置妨碍消防车操作的树木、架空管线等障碍物和车库出入口。”</w:t>
      </w:r>
    </w:p>
    <w:p w14:paraId="6D2E679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b w:val="0"/>
          <w:bCs w:val="0"/>
        </w:rPr>
      </w:pPr>
      <w:r>
        <w:rPr>
          <w:rFonts w:hint="eastAsia"/>
          <w:b w:val="0"/>
          <w:bCs w:val="0"/>
        </w:rPr>
        <w:t>在《建筑设计防火规范》GB50016-2014（2018版）实施指南中图例7.10、7.11、7.12、7.13给出了汽车出入口与消防车登高操作场地距离的要求。</w:t>
      </w:r>
    </w:p>
    <w:p w14:paraId="753103FB">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b w:val="0"/>
          <w:bCs w:val="0"/>
        </w:rPr>
      </w:pPr>
      <w:r>
        <w:rPr>
          <w:rFonts w:hint="eastAsia"/>
          <w:b w:val="0"/>
          <w:bCs w:val="0"/>
        </w:rPr>
        <w:t>受条件限制时，消防车登高操作场地与高层建筑之间可以设置汽车出入口，汽车出入口与消防车登高操作场地之间距离应满足汽车转弯半径的要求，汽车出入口及与其连接的车行道不应占用消防救援登高操作场地，且地下车库坡道出口不应设置雨棚。如下图：</w:t>
      </w:r>
    </w:p>
    <w:p w14:paraId="549C253E">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b w:val="0"/>
          <w:bCs w:val="0"/>
        </w:rPr>
      </w:pPr>
    </w:p>
    <w:p w14:paraId="194A71A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rPr>
      </w:pPr>
      <w:r>
        <w:rPr>
          <w:rFonts w:hint="eastAsia"/>
          <w:b w:val="0"/>
          <w:bCs w:val="0"/>
        </w:rPr>
        <w:drawing>
          <wp:inline distT="0" distB="0" distL="114300" distR="114300">
            <wp:extent cx="4171950" cy="2346960"/>
            <wp:effectExtent l="0" t="0" r="0" b="0"/>
            <wp:docPr id="1" name="图片 1" descr="54774f28f3aab69e6cf04d8955cd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774f28f3aab69e6cf04d8955cdaab"/>
                    <pic:cNvPicPr>
                      <a:picLocks noChangeAspect="1"/>
                    </pic:cNvPicPr>
                  </pic:nvPicPr>
                  <pic:blipFill>
                    <a:blip r:embed="rId10"/>
                    <a:srcRect l="16121" t="3084" r="4723" b="23843"/>
                    <a:stretch>
                      <a:fillRect/>
                    </a:stretch>
                  </pic:blipFill>
                  <pic:spPr>
                    <a:xfrm>
                      <a:off x="0" y="0"/>
                      <a:ext cx="4171950" cy="2346960"/>
                    </a:xfrm>
                    <a:prstGeom prst="rect">
                      <a:avLst/>
                    </a:prstGeom>
                  </pic:spPr>
                </pic:pic>
              </a:graphicData>
            </a:graphic>
          </wp:inline>
        </w:drawing>
      </w:r>
    </w:p>
    <w:p w14:paraId="7CFC435C">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1.</w:t>
      </w:r>
      <w:r>
        <w:rPr>
          <w:rFonts w:hint="eastAsia" w:ascii="楷体_GB2312" w:hAnsi="楷体_GB2312" w:eastAsia="楷体_GB2312" w:cs="楷体_GB2312"/>
          <w:b/>
          <w:bCs/>
          <w:sz w:val="24"/>
          <w:szCs w:val="24"/>
        </w:rPr>
        <w:t>1</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矩形平面建筑消防登高操作场地布置示意图（一）</w:t>
      </w:r>
    </w:p>
    <w:p w14:paraId="62421841">
      <w:pPr>
        <w:pStyle w:val="61"/>
        <w:keepNext w:val="0"/>
        <w:keepLines w:val="0"/>
        <w:pageBreakBefore w:val="0"/>
        <w:kinsoku/>
        <w:wordWrap/>
        <w:topLinePunct w:val="0"/>
        <w:autoSpaceDE/>
        <w:autoSpaceDN/>
        <w:bidi w:val="0"/>
        <w:adjustRightInd/>
        <w:snapToGrid w:val="0"/>
        <w:spacing w:line="560" w:lineRule="exact"/>
        <w:ind w:firstLine="480" w:firstLineChars="200"/>
        <w:textAlignment w:val="auto"/>
        <w:rPr>
          <w:b w:val="0"/>
          <w:bCs w:val="0"/>
          <w:sz w:val="24"/>
          <w:szCs w:val="24"/>
        </w:rPr>
      </w:pPr>
      <w:r>
        <w:rPr>
          <w:rFonts w:hint="eastAsia"/>
          <w:b w:val="0"/>
          <w:bCs w:val="0"/>
          <w:sz w:val="24"/>
          <w:szCs w:val="24"/>
        </w:rPr>
        <w:t>注:1.登高操作场地长度a</w:t>
      </w:r>
      <w:r>
        <w:rPr>
          <w:rFonts w:hint="eastAsia"/>
          <w:b w:val="0"/>
          <w:bCs w:val="0"/>
          <w:sz w:val="16"/>
          <w:szCs w:val="16"/>
        </w:rPr>
        <w:t>1</w:t>
      </w:r>
      <w:r>
        <w:rPr>
          <w:rFonts w:hint="eastAsia"/>
          <w:b w:val="0"/>
          <w:bCs w:val="0"/>
          <w:sz w:val="24"/>
          <w:szCs w:val="24"/>
        </w:rPr>
        <w:t>+a</w:t>
      </w:r>
      <w:r>
        <w:rPr>
          <w:rFonts w:hint="eastAsia"/>
          <w:b w:val="0"/>
          <w:bCs w:val="0"/>
          <w:sz w:val="16"/>
          <w:szCs w:val="16"/>
        </w:rPr>
        <w:t>2</w:t>
      </w:r>
      <w:r>
        <w:rPr>
          <w:rFonts w:hint="eastAsia"/>
          <w:b w:val="0"/>
          <w:bCs w:val="0"/>
          <w:sz w:val="24"/>
          <w:szCs w:val="24"/>
        </w:rPr>
        <w:t>≥L，D</w:t>
      </w:r>
      <w:r>
        <w:rPr>
          <w:rFonts w:hint="eastAsia"/>
          <w:b w:val="0"/>
          <w:bCs w:val="0"/>
          <w:sz w:val="16"/>
          <w:szCs w:val="16"/>
        </w:rPr>
        <w:t>1</w:t>
      </w:r>
      <w:r>
        <w:rPr>
          <w:rFonts w:hint="eastAsia"/>
          <w:b w:val="0"/>
          <w:bCs w:val="0"/>
          <w:sz w:val="24"/>
          <w:szCs w:val="24"/>
        </w:rPr>
        <w:t>≤4m，D</w:t>
      </w:r>
      <w:r>
        <w:rPr>
          <w:rFonts w:hint="eastAsia"/>
          <w:b w:val="0"/>
          <w:bCs w:val="0"/>
          <w:sz w:val="16"/>
          <w:szCs w:val="16"/>
        </w:rPr>
        <w:t>2</w:t>
      </w:r>
      <w:r>
        <w:rPr>
          <w:rFonts w:hint="eastAsia"/>
          <w:b w:val="0"/>
          <w:bCs w:val="0"/>
          <w:sz w:val="24"/>
          <w:szCs w:val="24"/>
        </w:rPr>
        <w:t>&gt;4m;地下车库出口坡道上方不应设雨篷。2.登高操作场地宽b≥10m，10m≥c≥5m，</w:t>
      </w:r>
      <w:r>
        <w:rPr>
          <w:rFonts w:hint="eastAsia"/>
          <w:b w:val="0"/>
          <w:bCs w:val="0"/>
          <w:sz w:val="28"/>
          <w:szCs w:val="28"/>
        </w:rPr>
        <w:t>a</w:t>
      </w:r>
      <w:r>
        <w:rPr>
          <w:rFonts w:hint="eastAsia"/>
          <w:b w:val="0"/>
          <w:bCs w:val="0"/>
          <w:sz w:val="16"/>
          <w:szCs w:val="16"/>
        </w:rPr>
        <w:t>2</w:t>
      </w:r>
      <w:r>
        <w:rPr>
          <w:rFonts w:hint="eastAsia"/>
          <w:b w:val="0"/>
          <w:bCs w:val="0"/>
          <w:sz w:val="24"/>
          <w:szCs w:val="24"/>
        </w:rPr>
        <w:t>≥20m;▲为首层出人口。</w:t>
      </w:r>
    </w:p>
    <w:p w14:paraId="061B3F9C">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7CA8C70B">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486E0757">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2C44348D">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750631E2">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49698C77">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77276AA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01813CA8">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5A974995">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drawing>
          <wp:inline distT="0" distB="0" distL="0" distR="0">
            <wp:extent cx="3733165" cy="2346960"/>
            <wp:effectExtent l="0" t="0" r="635" b="15240"/>
            <wp:docPr id="28" name="图片 1" descr="D:\Personal\My Documents\WeChat Files\wxid_nh5hegdeysbc12\FileStorage\Temp\174055546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Personal\My Documents\WeChat Files\wxid_nh5hegdeysbc12\FileStorage\Temp\1740555461168.png"/>
                    <pic:cNvPicPr>
                      <a:picLocks noChangeAspect="1" noChangeArrowheads="1"/>
                    </pic:cNvPicPr>
                  </pic:nvPicPr>
                  <pic:blipFill>
                    <a:blip r:embed="rId11"/>
                    <a:srcRect l="11744" t="2447" r="10279" b="23341"/>
                    <a:stretch>
                      <a:fillRect/>
                    </a:stretch>
                  </pic:blipFill>
                  <pic:spPr>
                    <a:xfrm>
                      <a:off x="0" y="0"/>
                      <a:ext cx="3733165" cy="2346960"/>
                    </a:xfrm>
                    <a:prstGeom prst="rect">
                      <a:avLst/>
                    </a:prstGeom>
                    <a:noFill/>
                    <a:ln w="9525">
                      <a:noFill/>
                      <a:miter lim="800000"/>
                      <a:headEnd/>
                      <a:tailEnd/>
                    </a:ln>
                  </pic:spPr>
                </pic:pic>
              </a:graphicData>
            </a:graphic>
          </wp:inline>
        </w:drawing>
      </w:r>
    </w:p>
    <w:p w14:paraId="5ED4CB6A">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1.</w:t>
      </w:r>
      <w:r>
        <w:rPr>
          <w:rFonts w:hint="eastAsia" w:ascii="楷体_GB2312" w:hAnsi="楷体_GB2312" w:eastAsia="楷体_GB2312" w:cs="楷体_GB2312"/>
          <w:b/>
          <w:bCs/>
          <w:sz w:val="24"/>
          <w:szCs w:val="24"/>
        </w:rPr>
        <w:t>2</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矩形平面建筑消防登高操作场地布置示意图（二）</w:t>
      </w:r>
    </w:p>
    <w:p w14:paraId="43F93F69">
      <w:pPr>
        <w:pStyle w:val="61"/>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b w:val="0"/>
          <w:bCs w:val="0"/>
        </w:rPr>
      </w:pPr>
      <w:r>
        <w:rPr>
          <w:rFonts w:hint="eastAsia"/>
          <w:b w:val="0"/>
          <w:bCs w:val="0"/>
          <w:sz w:val="24"/>
          <w:szCs w:val="24"/>
        </w:rPr>
        <w:t>注:1.登高操作场地长度4a</w:t>
      </w:r>
      <w:r>
        <w:rPr>
          <w:rFonts w:hint="eastAsia"/>
          <w:b w:val="0"/>
          <w:bCs w:val="0"/>
          <w:sz w:val="10"/>
          <w:szCs w:val="10"/>
        </w:rPr>
        <w:t>0</w:t>
      </w:r>
      <w:r>
        <w:rPr>
          <w:rFonts w:hint="eastAsia"/>
          <w:b w:val="0"/>
          <w:bCs w:val="0"/>
          <w:sz w:val="24"/>
          <w:szCs w:val="24"/>
        </w:rPr>
        <w:t>≥L,a</w:t>
      </w:r>
      <w:r>
        <w:rPr>
          <w:rFonts w:hint="eastAsia"/>
          <w:b w:val="0"/>
          <w:bCs w:val="0"/>
          <w:sz w:val="10"/>
          <w:szCs w:val="10"/>
        </w:rPr>
        <w:t>1</w:t>
      </w:r>
      <w:r>
        <w:rPr>
          <w:rFonts w:hint="eastAsia"/>
          <w:b w:val="0"/>
          <w:bCs w:val="0"/>
          <w:sz w:val="24"/>
          <w:szCs w:val="24"/>
        </w:rPr>
        <w:t>≤30m，D</w:t>
      </w:r>
      <w:r>
        <w:rPr>
          <w:rFonts w:hint="eastAsia"/>
          <w:b w:val="0"/>
          <w:bCs w:val="0"/>
          <w:sz w:val="16"/>
          <w:szCs w:val="16"/>
        </w:rPr>
        <w:t>1</w:t>
      </w:r>
      <w:r>
        <w:rPr>
          <w:rFonts w:hint="eastAsia"/>
          <w:b w:val="0"/>
          <w:bCs w:val="0"/>
          <w:sz w:val="24"/>
          <w:szCs w:val="24"/>
        </w:rPr>
        <w:t>≤4m，D</w:t>
      </w:r>
      <w:r>
        <w:rPr>
          <w:rFonts w:hint="eastAsia"/>
          <w:b w:val="0"/>
          <w:bCs w:val="0"/>
          <w:sz w:val="16"/>
          <w:szCs w:val="16"/>
        </w:rPr>
        <w:t>2</w:t>
      </w:r>
      <w:r>
        <w:rPr>
          <w:rFonts w:hint="eastAsia"/>
          <w:b w:val="0"/>
          <w:bCs w:val="0"/>
          <w:sz w:val="24"/>
          <w:szCs w:val="24"/>
        </w:rPr>
        <w:t>&gt;4m;地下车库出口坡道上方不应设雨篷</w:t>
      </w:r>
      <w:r>
        <w:rPr>
          <w:rFonts w:hint="eastAsia"/>
          <w:b w:val="0"/>
          <w:bCs w:val="0"/>
          <w:sz w:val="24"/>
          <w:szCs w:val="24"/>
          <w:lang w:eastAsia="zh-CN"/>
        </w:rPr>
        <w:t>。</w:t>
      </w:r>
      <w:r>
        <w:rPr>
          <w:rFonts w:hint="eastAsia"/>
          <w:b w:val="0"/>
          <w:bCs w:val="0"/>
          <w:sz w:val="24"/>
          <w:szCs w:val="24"/>
        </w:rPr>
        <w:t>2.登高操作场地宽b≥8m，10m&gt;c&gt;5m，a</w:t>
      </w:r>
      <w:r>
        <w:rPr>
          <w:rFonts w:hint="eastAsia"/>
          <w:b w:val="0"/>
          <w:bCs w:val="0"/>
          <w:sz w:val="24"/>
          <w:szCs w:val="24"/>
          <w:vertAlign w:val="subscript"/>
          <w:lang w:val="en-US" w:eastAsia="zh-CN"/>
        </w:rPr>
        <w:t>0</w:t>
      </w:r>
      <w:r>
        <w:rPr>
          <w:rFonts w:hint="eastAsia"/>
          <w:b w:val="0"/>
          <w:bCs w:val="0"/>
          <w:sz w:val="24"/>
          <w:szCs w:val="24"/>
        </w:rPr>
        <w:t>&gt;15m;▲为首层出人口。</w:t>
      </w:r>
    </w:p>
    <w:p w14:paraId="49D530AB">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p>
    <w:p w14:paraId="65D55FB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drawing>
          <wp:inline distT="0" distB="0" distL="0" distR="0">
            <wp:extent cx="4044950" cy="2346960"/>
            <wp:effectExtent l="0" t="0" r="12700" b="15240"/>
            <wp:docPr id="19" name="图片 4" descr="D:\Personal\My Documents\WeChat Files\wxid_nh5hegdeysbc12\FileStorage\Temp\1740555923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D:\Personal\My Documents\WeChat Files\wxid_nh5hegdeysbc12\FileStorage\Temp\1740555923070.png"/>
                    <pic:cNvPicPr>
                      <a:picLocks noChangeAspect="1" noChangeArrowheads="1"/>
                    </pic:cNvPicPr>
                  </pic:nvPicPr>
                  <pic:blipFill>
                    <a:blip r:embed="rId12"/>
                    <a:srcRect l="11141" t="3626" r="1456" b="21328"/>
                    <a:stretch>
                      <a:fillRect/>
                    </a:stretch>
                  </pic:blipFill>
                  <pic:spPr>
                    <a:xfrm>
                      <a:off x="0" y="0"/>
                      <a:ext cx="4044950" cy="2346960"/>
                    </a:xfrm>
                    <a:prstGeom prst="rect">
                      <a:avLst/>
                    </a:prstGeom>
                    <a:noFill/>
                    <a:ln w="9525">
                      <a:noFill/>
                      <a:miter lim="800000"/>
                      <a:headEnd/>
                      <a:tailEnd/>
                    </a:ln>
                  </pic:spPr>
                </pic:pic>
              </a:graphicData>
            </a:graphic>
          </wp:inline>
        </w:drawing>
      </w:r>
    </w:p>
    <w:p w14:paraId="6ADA3A3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1.</w:t>
      </w:r>
      <w:r>
        <w:rPr>
          <w:rFonts w:hint="eastAsia" w:ascii="楷体_GB2312" w:hAnsi="楷体_GB2312" w:eastAsia="楷体_GB2312" w:cs="楷体_GB2312"/>
          <w:b/>
          <w:bCs/>
          <w:sz w:val="24"/>
          <w:szCs w:val="24"/>
        </w:rPr>
        <w:t>3</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异形平面建筑消防登高操作场地布置示意图（三）</w:t>
      </w:r>
    </w:p>
    <w:p w14:paraId="4A83913F">
      <w:pPr>
        <w:pStyle w:val="61"/>
        <w:keepNext w:val="0"/>
        <w:keepLines w:val="0"/>
        <w:pageBreakBefore w:val="0"/>
        <w:kinsoku/>
        <w:wordWrap/>
        <w:topLinePunct w:val="0"/>
        <w:autoSpaceDE/>
        <w:autoSpaceDN/>
        <w:bidi w:val="0"/>
        <w:adjustRightInd/>
        <w:snapToGrid w:val="0"/>
        <w:spacing w:line="560" w:lineRule="exact"/>
        <w:ind w:firstLine="456" w:firstLineChars="200"/>
        <w:jc w:val="both"/>
        <w:textAlignment w:val="auto"/>
        <w:rPr>
          <w:b w:val="0"/>
          <w:bCs w:val="0"/>
          <w:sz w:val="24"/>
          <w:szCs w:val="24"/>
        </w:rPr>
      </w:pPr>
      <w:r>
        <w:rPr>
          <w:rFonts w:hint="eastAsia"/>
          <w:b w:val="0"/>
          <w:bCs w:val="0"/>
          <w:spacing w:val="-6"/>
          <w:sz w:val="24"/>
          <w:szCs w:val="24"/>
        </w:rPr>
        <w:t>注：1.登高操作场地长度a</w:t>
      </w:r>
      <w:r>
        <w:rPr>
          <w:rFonts w:hint="eastAsia"/>
          <w:b w:val="0"/>
          <w:bCs w:val="0"/>
          <w:spacing w:val="-6"/>
          <w:sz w:val="16"/>
          <w:szCs w:val="16"/>
        </w:rPr>
        <w:t>1</w:t>
      </w:r>
      <w:r>
        <w:rPr>
          <w:rFonts w:hint="eastAsia"/>
          <w:b w:val="0"/>
          <w:bCs w:val="0"/>
          <w:spacing w:val="-6"/>
          <w:sz w:val="24"/>
          <w:szCs w:val="24"/>
        </w:rPr>
        <w:t>+a</w:t>
      </w:r>
      <w:r>
        <w:rPr>
          <w:rFonts w:hint="eastAsia"/>
          <w:b w:val="0"/>
          <w:bCs w:val="0"/>
          <w:spacing w:val="-6"/>
          <w:sz w:val="16"/>
          <w:szCs w:val="16"/>
        </w:rPr>
        <w:t>2</w:t>
      </w:r>
      <w:r>
        <w:rPr>
          <w:rFonts w:hint="eastAsia"/>
          <w:b w:val="0"/>
          <w:bCs w:val="0"/>
          <w:spacing w:val="-6"/>
          <w:sz w:val="24"/>
          <w:szCs w:val="24"/>
        </w:rPr>
        <w:t>或2a</w:t>
      </w:r>
      <w:r>
        <w:rPr>
          <w:rFonts w:hint="eastAsia"/>
          <w:b w:val="0"/>
          <w:bCs w:val="0"/>
          <w:spacing w:val="-6"/>
          <w:sz w:val="16"/>
          <w:szCs w:val="16"/>
        </w:rPr>
        <w:t>1</w:t>
      </w:r>
      <w:r>
        <w:rPr>
          <w:rFonts w:hint="eastAsia"/>
          <w:b w:val="0"/>
          <w:bCs w:val="0"/>
          <w:spacing w:val="-6"/>
          <w:sz w:val="24"/>
          <w:szCs w:val="24"/>
        </w:rPr>
        <w:t>≥L/4，L=6a</w:t>
      </w:r>
      <w:r>
        <w:rPr>
          <w:rFonts w:hint="eastAsia"/>
          <w:b w:val="0"/>
          <w:bCs w:val="0"/>
          <w:spacing w:val="-6"/>
          <w:sz w:val="16"/>
          <w:szCs w:val="16"/>
        </w:rPr>
        <w:t>0</w:t>
      </w:r>
      <w:r>
        <w:rPr>
          <w:rFonts w:hint="eastAsia"/>
          <w:b w:val="0"/>
          <w:bCs w:val="0"/>
          <w:spacing w:val="-6"/>
          <w:sz w:val="24"/>
          <w:szCs w:val="24"/>
        </w:rPr>
        <w:t>(周长);地下车库出口坡道上方不应设雨篷。</w:t>
      </w:r>
      <w:r>
        <w:rPr>
          <w:rFonts w:hint="eastAsia"/>
          <w:b w:val="0"/>
          <w:bCs w:val="0"/>
          <w:spacing w:val="-6"/>
          <w:sz w:val="24"/>
          <w:szCs w:val="24"/>
          <w:lang w:val="en-US" w:eastAsia="zh-CN"/>
        </w:rPr>
        <w:t>2.</w:t>
      </w:r>
      <w:r>
        <w:rPr>
          <w:rFonts w:hint="eastAsia"/>
          <w:b w:val="0"/>
          <w:bCs w:val="0"/>
          <w:spacing w:val="-6"/>
          <w:sz w:val="24"/>
          <w:szCs w:val="24"/>
        </w:rPr>
        <w:t>登高操作场地宽b≥10m，10m≥c≥5m，a</w:t>
      </w:r>
      <w:r>
        <w:rPr>
          <w:rFonts w:hint="eastAsia"/>
          <w:b w:val="0"/>
          <w:bCs w:val="0"/>
          <w:spacing w:val="-6"/>
          <w:sz w:val="24"/>
          <w:szCs w:val="24"/>
          <w:vertAlign w:val="subscript"/>
        </w:rPr>
        <w:t>1</w:t>
      </w:r>
      <w:r>
        <w:rPr>
          <w:rFonts w:hint="eastAsia"/>
          <w:b w:val="0"/>
          <w:bCs w:val="0"/>
          <w:spacing w:val="-6"/>
          <w:sz w:val="24"/>
          <w:szCs w:val="24"/>
        </w:rPr>
        <w:t>≥20m，D</w:t>
      </w:r>
      <w:r>
        <w:rPr>
          <w:rFonts w:hint="eastAsia"/>
          <w:b w:val="0"/>
          <w:bCs w:val="0"/>
          <w:spacing w:val="-6"/>
          <w:sz w:val="24"/>
          <w:szCs w:val="24"/>
          <w:vertAlign w:val="subscript"/>
        </w:rPr>
        <w:t>1</w:t>
      </w:r>
      <w:r>
        <w:rPr>
          <w:rFonts w:hint="eastAsia"/>
          <w:b w:val="0"/>
          <w:bCs w:val="0"/>
          <w:spacing w:val="-6"/>
          <w:sz w:val="24"/>
          <w:szCs w:val="24"/>
        </w:rPr>
        <w:t>≤4m;▲为首层出人口。</w:t>
      </w:r>
    </w:p>
    <w:p w14:paraId="7328D28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drawing>
          <wp:inline distT="0" distB="0" distL="0" distR="0">
            <wp:extent cx="4293235" cy="2346960"/>
            <wp:effectExtent l="0" t="0" r="12065" b="15240"/>
            <wp:docPr id="16" name="图片 2" descr="D:\Personal\My Documents\WeChat Files\wxid_nh5hegdeysbc12\FileStorage\Temp\174055557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Personal\My Documents\WeChat Files\wxid_nh5hegdeysbc12\FileStorage\Temp\1740555572059.png"/>
                    <pic:cNvPicPr>
                      <a:picLocks noChangeAspect="1" noChangeArrowheads="1"/>
                    </pic:cNvPicPr>
                  </pic:nvPicPr>
                  <pic:blipFill>
                    <a:blip r:embed="rId13"/>
                    <a:srcRect l="8844" t="3233" r="6466" b="22470"/>
                    <a:stretch>
                      <a:fillRect/>
                    </a:stretch>
                  </pic:blipFill>
                  <pic:spPr>
                    <a:xfrm>
                      <a:off x="0" y="0"/>
                      <a:ext cx="4293235" cy="2346960"/>
                    </a:xfrm>
                    <a:prstGeom prst="rect">
                      <a:avLst/>
                    </a:prstGeom>
                    <a:noFill/>
                    <a:ln w="9525">
                      <a:noFill/>
                      <a:miter lim="800000"/>
                      <a:headEnd/>
                      <a:tailEnd/>
                    </a:ln>
                  </pic:spPr>
                </pic:pic>
              </a:graphicData>
            </a:graphic>
          </wp:inline>
        </w:drawing>
      </w:r>
    </w:p>
    <w:p w14:paraId="62F73318">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1.</w:t>
      </w:r>
      <w:r>
        <w:rPr>
          <w:rFonts w:hint="eastAsia" w:ascii="楷体_GB2312" w:hAnsi="楷体_GB2312" w:eastAsia="楷体_GB2312" w:cs="楷体_GB2312"/>
          <w:b/>
          <w:bCs/>
          <w:sz w:val="24"/>
          <w:szCs w:val="24"/>
        </w:rPr>
        <w:t>4</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异形平面建筑消防登高操作场地布置示意图（四）</w:t>
      </w:r>
    </w:p>
    <w:p w14:paraId="0C67FA0B">
      <w:pPr>
        <w:pStyle w:val="61"/>
        <w:keepNext w:val="0"/>
        <w:keepLines w:val="0"/>
        <w:pageBreakBefore w:val="0"/>
        <w:kinsoku/>
        <w:wordWrap/>
        <w:topLinePunct w:val="0"/>
        <w:autoSpaceDE/>
        <w:autoSpaceDN/>
        <w:bidi w:val="0"/>
        <w:adjustRightInd/>
        <w:snapToGrid w:val="0"/>
        <w:spacing w:line="560" w:lineRule="exact"/>
        <w:ind w:left="0" w:leftChars="0" w:firstLine="456" w:firstLineChars="200"/>
        <w:textAlignment w:val="auto"/>
        <w:rPr>
          <w:b w:val="0"/>
          <w:bCs w:val="0"/>
          <w:spacing w:val="-6"/>
          <w:sz w:val="24"/>
          <w:szCs w:val="24"/>
        </w:rPr>
      </w:pPr>
      <w:r>
        <w:rPr>
          <w:rFonts w:hint="eastAsia"/>
          <w:b w:val="0"/>
          <w:bCs w:val="0"/>
          <w:spacing w:val="-6"/>
          <w:sz w:val="24"/>
          <w:szCs w:val="24"/>
        </w:rPr>
        <w:t>注:1.登高操作场地长度a</w:t>
      </w:r>
      <w:r>
        <w:rPr>
          <w:rFonts w:hint="eastAsia"/>
          <w:b w:val="0"/>
          <w:bCs w:val="0"/>
          <w:spacing w:val="-6"/>
          <w:sz w:val="24"/>
          <w:szCs w:val="24"/>
          <w:vertAlign w:val="subscript"/>
        </w:rPr>
        <w:t>1</w:t>
      </w:r>
      <w:r>
        <w:rPr>
          <w:rFonts w:hint="eastAsia"/>
          <w:b w:val="0"/>
          <w:bCs w:val="0"/>
          <w:spacing w:val="-6"/>
          <w:sz w:val="24"/>
          <w:szCs w:val="24"/>
        </w:rPr>
        <w:t>+a</w:t>
      </w:r>
      <w:r>
        <w:rPr>
          <w:rFonts w:hint="eastAsia"/>
          <w:b w:val="0"/>
          <w:bCs w:val="0"/>
          <w:spacing w:val="-6"/>
          <w:sz w:val="24"/>
          <w:szCs w:val="24"/>
          <w:vertAlign w:val="subscript"/>
        </w:rPr>
        <w:t>1</w:t>
      </w:r>
      <w:r>
        <w:rPr>
          <w:rFonts w:hint="eastAsia"/>
          <w:b w:val="0"/>
          <w:bCs w:val="0"/>
          <w:spacing w:val="-6"/>
          <w:sz w:val="24"/>
          <w:szCs w:val="24"/>
        </w:rPr>
        <w:t>≥L/4,L=6a</w:t>
      </w:r>
      <w:r>
        <w:rPr>
          <w:rFonts w:hint="eastAsia"/>
          <w:b w:val="0"/>
          <w:bCs w:val="0"/>
          <w:spacing w:val="-6"/>
          <w:sz w:val="24"/>
          <w:szCs w:val="24"/>
          <w:vertAlign w:val="subscript"/>
          <w:lang w:val="en-US" w:eastAsia="zh-CN"/>
        </w:rPr>
        <w:t>0</w:t>
      </w:r>
      <w:r>
        <w:rPr>
          <w:rFonts w:hint="eastAsia"/>
          <w:b w:val="0"/>
          <w:bCs w:val="0"/>
          <w:spacing w:val="-6"/>
          <w:sz w:val="24"/>
          <w:szCs w:val="24"/>
        </w:rPr>
        <w:t>(周长)，a</w:t>
      </w:r>
      <w:r>
        <w:rPr>
          <w:rFonts w:hint="eastAsia"/>
          <w:b w:val="0"/>
          <w:bCs w:val="0"/>
          <w:spacing w:val="-6"/>
          <w:sz w:val="24"/>
          <w:szCs w:val="24"/>
          <w:vertAlign w:val="subscript"/>
        </w:rPr>
        <w:t>2</w:t>
      </w:r>
      <w:r>
        <w:rPr>
          <w:rFonts w:hint="eastAsia"/>
          <w:b w:val="0"/>
          <w:bCs w:val="0"/>
          <w:spacing w:val="-6"/>
          <w:sz w:val="24"/>
          <w:szCs w:val="24"/>
        </w:rPr>
        <w:t>+a</w:t>
      </w:r>
      <w:r>
        <w:rPr>
          <w:rFonts w:hint="eastAsia"/>
          <w:b w:val="0"/>
          <w:bCs w:val="0"/>
          <w:spacing w:val="-6"/>
          <w:sz w:val="24"/>
          <w:szCs w:val="24"/>
          <w:vertAlign w:val="subscript"/>
        </w:rPr>
        <w:t>3</w:t>
      </w:r>
      <w:r>
        <w:rPr>
          <w:rFonts w:hint="eastAsia"/>
          <w:b w:val="0"/>
          <w:bCs w:val="0"/>
          <w:spacing w:val="-6"/>
          <w:sz w:val="24"/>
          <w:szCs w:val="24"/>
        </w:rPr>
        <w:t>≤30m;地下车库出口坡道上方不应设雨篷。2.登高操作场地宽b≥8m，10m≥c≥5m，a</w:t>
      </w:r>
      <w:r>
        <w:rPr>
          <w:rFonts w:hint="eastAsia"/>
          <w:b w:val="0"/>
          <w:bCs w:val="0"/>
          <w:spacing w:val="-6"/>
          <w:sz w:val="16"/>
          <w:szCs w:val="16"/>
        </w:rPr>
        <w:t>1</w:t>
      </w:r>
      <w:r>
        <w:rPr>
          <w:rFonts w:hint="eastAsia"/>
          <w:b w:val="0"/>
          <w:bCs w:val="0"/>
          <w:spacing w:val="-6"/>
          <w:sz w:val="24"/>
          <w:szCs w:val="24"/>
        </w:rPr>
        <w:t>≥15m，D</w:t>
      </w:r>
      <w:r>
        <w:rPr>
          <w:rFonts w:hint="eastAsia"/>
          <w:b w:val="0"/>
          <w:bCs w:val="0"/>
          <w:spacing w:val="-6"/>
          <w:sz w:val="16"/>
          <w:szCs w:val="16"/>
        </w:rPr>
        <w:t>1</w:t>
      </w:r>
      <w:r>
        <w:rPr>
          <w:rFonts w:hint="eastAsia"/>
          <w:b w:val="0"/>
          <w:bCs w:val="0"/>
          <w:spacing w:val="-6"/>
          <w:sz w:val="24"/>
          <w:szCs w:val="24"/>
        </w:rPr>
        <w:t>≤4m;▲为首层出人口。</w:t>
      </w:r>
    </w:p>
    <w:p w14:paraId="26E95E3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当汽车出口不与消防车登高操作场地正对时，进出车库的机动车道不能与消防车登高操作场地交叉。如下图：</w:t>
      </w:r>
    </w:p>
    <w:p w14:paraId="5BC71607">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drawing>
          <wp:inline distT="0" distB="0" distL="0" distR="0">
            <wp:extent cx="4476750" cy="2346960"/>
            <wp:effectExtent l="0" t="0" r="0" b="15240"/>
            <wp:docPr id="17" name="图片 3" descr="D:\Personal\Desktop\1740555691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D:\Personal\Desktop\1740555691889.png"/>
                    <pic:cNvPicPr>
                      <a:picLocks noChangeAspect="1" noChangeArrowheads="1"/>
                    </pic:cNvPicPr>
                  </pic:nvPicPr>
                  <pic:blipFill>
                    <a:blip r:embed="rId14"/>
                    <a:srcRect l="9429" t="942" r="1556" b="21893"/>
                    <a:stretch>
                      <a:fillRect/>
                    </a:stretch>
                  </pic:blipFill>
                  <pic:spPr>
                    <a:xfrm>
                      <a:off x="0" y="0"/>
                      <a:ext cx="4476750" cy="2346960"/>
                    </a:xfrm>
                    <a:prstGeom prst="rect">
                      <a:avLst/>
                    </a:prstGeom>
                    <a:noFill/>
                    <a:ln w="9525">
                      <a:noFill/>
                      <a:miter lim="800000"/>
                      <a:headEnd/>
                      <a:tailEnd/>
                    </a:ln>
                  </pic:spPr>
                </pic:pic>
              </a:graphicData>
            </a:graphic>
          </wp:inline>
        </w:drawing>
      </w:r>
    </w:p>
    <w:p w14:paraId="2D09306E">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1.</w:t>
      </w:r>
      <w:r>
        <w:rPr>
          <w:rFonts w:hint="eastAsia" w:ascii="楷体_GB2312" w:hAnsi="楷体_GB2312" w:eastAsia="楷体_GB2312" w:cs="楷体_GB2312"/>
          <w:b/>
          <w:bCs/>
          <w:sz w:val="24"/>
          <w:szCs w:val="24"/>
        </w:rPr>
        <w:t>5</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异形平面建筑消防登高操作场地布置示意图（五）</w:t>
      </w:r>
    </w:p>
    <w:p w14:paraId="7B92AB13">
      <w:pPr>
        <w:pStyle w:val="61"/>
        <w:keepNext w:val="0"/>
        <w:keepLines w:val="0"/>
        <w:pageBreakBefore w:val="0"/>
        <w:kinsoku/>
        <w:wordWrap/>
        <w:topLinePunct w:val="0"/>
        <w:autoSpaceDE/>
        <w:autoSpaceDN/>
        <w:bidi w:val="0"/>
        <w:adjustRightInd/>
        <w:snapToGrid w:val="0"/>
        <w:spacing w:line="560" w:lineRule="exact"/>
        <w:ind w:left="0" w:leftChars="0" w:firstLine="480" w:firstLineChars="200"/>
        <w:textAlignment w:val="auto"/>
        <w:rPr>
          <w:b w:val="0"/>
          <w:bCs w:val="0"/>
          <w:sz w:val="24"/>
          <w:szCs w:val="24"/>
        </w:rPr>
      </w:pPr>
      <w:r>
        <w:rPr>
          <w:rFonts w:hint="eastAsia"/>
          <w:b w:val="0"/>
          <w:bCs w:val="0"/>
          <w:sz w:val="24"/>
          <w:szCs w:val="24"/>
        </w:rPr>
        <w:t>注:1.登高操作场地长度a</w:t>
      </w:r>
      <w:r>
        <w:rPr>
          <w:rFonts w:hint="eastAsia"/>
          <w:b w:val="0"/>
          <w:bCs w:val="0"/>
          <w:sz w:val="16"/>
          <w:szCs w:val="16"/>
        </w:rPr>
        <w:t>1</w:t>
      </w:r>
      <w:r>
        <w:rPr>
          <w:rFonts w:hint="eastAsia"/>
          <w:b w:val="0"/>
          <w:bCs w:val="0"/>
          <w:sz w:val="24"/>
          <w:szCs w:val="24"/>
        </w:rPr>
        <w:t>+a</w:t>
      </w:r>
      <w:r>
        <w:rPr>
          <w:rFonts w:hint="eastAsia"/>
          <w:b w:val="0"/>
          <w:bCs w:val="0"/>
          <w:sz w:val="16"/>
          <w:szCs w:val="16"/>
        </w:rPr>
        <w:t>1</w:t>
      </w:r>
      <w:r>
        <w:rPr>
          <w:rFonts w:hint="eastAsia"/>
          <w:b w:val="0"/>
          <w:bCs w:val="0"/>
          <w:sz w:val="24"/>
          <w:szCs w:val="24"/>
        </w:rPr>
        <w:t>≥L/4，L=6a</w:t>
      </w:r>
      <w:r>
        <w:rPr>
          <w:rFonts w:hint="eastAsia"/>
          <w:b w:val="0"/>
          <w:bCs w:val="0"/>
          <w:sz w:val="16"/>
          <w:szCs w:val="16"/>
        </w:rPr>
        <w:t>0</w:t>
      </w:r>
      <w:r>
        <w:rPr>
          <w:rFonts w:hint="eastAsia"/>
          <w:b w:val="0"/>
          <w:bCs w:val="0"/>
          <w:sz w:val="24"/>
          <w:szCs w:val="24"/>
        </w:rPr>
        <w:t>(周长);地下车库出口坡道上方不应设雨篷。2.登高操作场地宽b≥10m，10m≥c≥5m，a</w:t>
      </w:r>
      <w:r>
        <w:rPr>
          <w:rFonts w:hint="eastAsia"/>
          <w:b w:val="0"/>
          <w:bCs w:val="0"/>
          <w:sz w:val="16"/>
          <w:szCs w:val="16"/>
        </w:rPr>
        <w:t>1</w:t>
      </w:r>
      <w:r>
        <w:rPr>
          <w:rFonts w:hint="eastAsia"/>
          <w:b w:val="0"/>
          <w:bCs w:val="0"/>
          <w:sz w:val="24"/>
          <w:szCs w:val="24"/>
        </w:rPr>
        <w:t>≥20m，D≤4m;▲为首层出入口。</w:t>
      </w:r>
    </w:p>
    <w:p w14:paraId="5B161D5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1.3防火窗可以作为消防救援口吗？</w:t>
      </w:r>
    </w:p>
    <w:p w14:paraId="1187F316">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不可以。</w:t>
      </w:r>
    </w:p>
    <w:p w14:paraId="69A8221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根据《建筑防火通用规范》GB55037-2022、《建筑设计防火规范》GB50016-2014（2018版）的相关要求，救援窗的玻璃应为易于破碎的安全玻璃，防火玻璃不易破碎，且为解决建筑门窗洞口防火间距或隔墙耐火时间要求而设置的防火窗，火灾时不应破拆。</w:t>
      </w:r>
    </w:p>
    <w:p w14:paraId="2A868A47">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1.4地下室设置的出室外地面的楼梯、采光、自然通风井的开口部位，与地上主体建筑的防火间距应如何要求？</w:t>
      </w:r>
    </w:p>
    <w:p w14:paraId="4C5CE6C8">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两个部位贴临设置时，其不同部位门、窗、洞口之间最近边缘的水平距离不应小于2.0m；内转角设置时，其不同部位门、窗、洞口之间最近边缘的水平距离不应小于4.0m，相对设置时不同部位门、窗、洞口之间直线距离不应小于6.0m。采取设置乙级防火窗等防止火灾水平蔓延的措施时，该距离不限。</w:t>
      </w:r>
    </w:p>
    <w:p w14:paraId="37E67E4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1.5两栋高层建筑之间的连廊是否应设置消防救援场地？</w:t>
      </w:r>
    </w:p>
    <w:p w14:paraId="5E6E71F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color w:val="FF0000"/>
        </w:rPr>
      </w:pPr>
      <w:r>
        <w:rPr>
          <w:rFonts w:hint="eastAsia"/>
          <w:b w:val="0"/>
          <w:bCs w:val="0"/>
        </w:rPr>
        <w:t>两栋建筑之间的连廊为敞开式连廊时，不必设置消防救援场地；仅做通行使用的连廊不需要设置消防救援场地。</w:t>
      </w:r>
    </w:p>
    <w:p w14:paraId="7FF82761">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1.6规范要求“建筑物与消防车登高操作场地相对应的范围内，应设置直通室外的楼梯或直通楼梯间的入口”，有的住宅建筑消防车登高操作场地对应的只有首层的单元门，而楼梯间的入口设置在登高操作场地的背面，这种做法是否符合要求？</w:t>
      </w:r>
    </w:p>
    <w:p w14:paraId="7A3601F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不符合要求。</w:t>
      </w:r>
    </w:p>
    <w:p w14:paraId="01A4976E">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建筑物与消防车登高操作场地相对应的范围内，应设置直通室外的楼梯或直通楼梯间的入口，或通过扩大封闭楼梯间、扩大防烟楼梯间前室进入楼梯间。</w:t>
      </w:r>
    </w:p>
    <w:p w14:paraId="38733B07">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1.7设置有裙房的高层公共建筑，裙房和主体建筑的用途不相同，其交通核也独立设置，但是消防电梯通过裙房楼层，是否要求消防电梯应该在裙房楼层停靠？</w:t>
      </w:r>
    </w:p>
    <w:p w14:paraId="109FD7F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消防电梯应能在所服务区域每层停靠。</w:t>
      </w:r>
    </w:p>
    <w:p w14:paraId="79730C8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b w:val="0"/>
          <w:bCs w:val="0"/>
        </w:rPr>
        <w:t>由</w:t>
      </w:r>
      <w:r>
        <w:rPr>
          <w:rFonts w:hint="eastAsia"/>
          <w:b w:val="0"/>
          <w:bCs w:val="0"/>
        </w:rPr>
        <w:t>于</w:t>
      </w:r>
      <w:r>
        <w:rPr>
          <w:b w:val="0"/>
          <w:bCs w:val="0"/>
        </w:rPr>
        <w:t>着火楼层</w:t>
      </w:r>
      <w:r>
        <w:rPr>
          <w:rFonts w:hint="eastAsia"/>
          <w:b w:val="0"/>
          <w:bCs w:val="0"/>
        </w:rPr>
        <w:t>具有不确定性</w:t>
      </w:r>
      <w:r>
        <w:rPr>
          <w:b w:val="0"/>
          <w:bCs w:val="0"/>
        </w:rPr>
        <w:t>，因此消防电梯应能通过控制停靠在所有可能发生火灾和人员需要救助的楼层、设置避难间的楼层以及避难层。</w:t>
      </w:r>
      <w:r>
        <w:rPr>
          <w:rFonts w:hint="eastAsia"/>
          <w:b w:val="0"/>
          <w:bCs w:val="0"/>
        </w:rPr>
        <w:t>多种功能组合的建筑可以根据不同部位的防火要求，按照实际所需服务的区域确定电梯的停靠楼层，一般应每层停靠。</w:t>
      </w:r>
    </w:p>
    <w:p w14:paraId="45C14D69">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1.8同一防火分区内的楼梯间、前室及合用前室外墙上的窗口与两侧门、窗、洞口最近边缘的水平距离不应小于1.0m，当为正对或内转角时应如何处置？</w:t>
      </w:r>
    </w:p>
    <w:p w14:paraId="7DB875A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color w:val="000000" w:themeColor="text1"/>
          <w14:textFill>
            <w14:solidFill>
              <w14:schemeClr w14:val="tx1"/>
            </w14:solidFill>
          </w14:textFill>
        </w:rPr>
      </w:pPr>
      <w:r>
        <w:rPr>
          <w:rFonts w:hint="eastAsia"/>
          <w:b w:val="0"/>
          <w:bCs w:val="0"/>
        </w:rPr>
        <w:t>同一防火分区内的，均按不应小于1.0m执行。</w:t>
      </w:r>
    </w:p>
    <w:p w14:paraId="569C815E">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1.9《建筑设计防火规范》GB50016-2014（2018版）第6.1节对两个防火分区防火墙两侧及内转角门窗洞口距离作出规定，未对正对距离作出要求，应如何把握？</w:t>
      </w:r>
    </w:p>
    <w:p w14:paraId="07142B7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bookmarkStart w:id="7" w:name="OLE_LINK10"/>
      <w:r>
        <w:rPr>
          <w:rFonts w:hint="eastAsia"/>
          <w:b w:val="0"/>
          <w:bCs w:val="0"/>
        </w:rPr>
        <w:t>对于回字形、U型、L型建筑等，两个不同防火分区的相对外墙之间也要有一定的间距，一般不小于6m，以防止火灾蔓延到不同</w:t>
      </w:r>
      <w:r>
        <w:rPr>
          <w:rFonts w:hint="eastAsia"/>
          <w:b w:val="0"/>
          <w:bCs w:val="0"/>
          <w:lang w:eastAsia="zh-CN"/>
        </w:rPr>
        <w:t>防火</w:t>
      </w:r>
      <w:r>
        <w:rPr>
          <w:rFonts w:hint="eastAsia"/>
          <w:b w:val="0"/>
          <w:bCs w:val="0"/>
        </w:rPr>
        <w:t>分区内。</w:t>
      </w:r>
    </w:p>
    <w:bookmarkEnd w:id="7"/>
    <w:p w14:paraId="1220791E">
      <w:pPr>
        <w:keepNext w:val="0"/>
        <w:keepLines w:val="0"/>
        <w:pageBreakBefore w:val="0"/>
        <w:kinsoku/>
        <w:wordWrap/>
        <w:topLinePunct w:val="0"/>
        <w:autoSpaceDE/>
        <w:autoSpaceDN/>
        <w:bidi w:val="0"/>
        <w:adjustRightInd/>
        <w:snapToGrid w:val="0"/>
        <w:spacing w:line="560" w:lineRule="exact"/>
        <w:ind w:left="0" w:leftChars="0" w:firstLine="643" w:firstLineChars="200"/>
        <w:jc w:val="left"/>
        <w:textAlignment w:val="auto"/>
        <w:rPr>
          <w:rFonts w:hint="eastAsia" w:ascii="仿宋" w:hAnsi="仿宋" w:eastAsia="仿宋" w:cs="仿宋"/>
          <w:bCs w:val="0"/>
          <w:color w:val="000000" w:themeColor="text1"/>
          <w:sz w:val="32"/>
          <w:szCs w:val="32"/>
          <w:u w:val="none"/>
          <w14:textFill>
            <w14:solidFill>
              <w14:schemeClr w14:val="tx1"/>
            </w14:solidFill>
          </w14:textFill>
        </w:rPr>
      </w:pPr>
      <w:r>
        <w:rPr>
          <w:rFonts w:hint="eastAsia" w:ascii="仿宋" w:hAnsi="仿宋" w:eastAsia="仿宋" w:cs="仿宋"/>
          <w:bCs w:val="0"/>
          <w:color w:val="000000" w:themeColor="text1"/>
          <w:sz w:val="32"/>
          <w:szCs w:val="32"/>
          <w:u w:val="none"/>
          <w14:textFill>
            <w14:solidFill>
              <w14:schemeClr w14:val="tx1"/>
            </w14:solidFill>
          </w14:textFill>
        </w:rPr>
        <w:t>1.10新建住宅建筑汽车库电动汽车充电桩设置有什么要求？</w:t>
      </w:r>
    </w:p>
    <w:p w14:paraId="3107D9BF">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1.按照</w:t>
      </w:r>
      <w:r>
        <w:rPr>
          <w:rFonts w:hint="eastAsia" w:ascii="仿宋" w:hAnsi="仿宋" w:eastAsia="仿宋" w:cs="仿宋"/>
          <w:b w:val="0"/>
          <w:color w:val="000000" w:themeColor="text1"/>
          <w:sz w:val="32"/>
          <w:szCs w:val="32"/>
          <w:u w:val="none"/>
          <w:lang w:eastAsia="zh-CN"/>
          <w14:textFill>
            <w14:solidFill>
              <w14:schemeClr w14:val="tx1"/>
            </w14:solidFill>
          </w14:textFill>
        </w:rPr>
        <w:t>济南市</w:t>
      </w:r>
      <w:r>
        <w:rPr>
          <w:rFonts w:hint="eastAsia" w:ascii="仿宋" w:hAnsi="仿宋" w:eastAsia="仿宋" w:cs="仿宋"/>
          <w:b w:val="0"/>
          <w:color w:val="000000" w:themeColor="text1"/>
          <w:sz w:val="32"/>
          <w:szCs w:val="32"/>
          <w:u w:val="none"/>
          <w14:textFill>
            <w14:solidFill>
              <w14:schemeClr w14:val="tx1"/>
            </w14:solidFill>
          </w14:textFill>
        </w:rPr>
        <w:t>规划主管部门颁发的《</w:t>
      </w:r>
      <w:bookmarkStart w:id="8" w:name="OLE_LINK1"/>
      <w:r>
        <w:rPr>
          <w:rFonts w:hint="eastAsia" w:ascii="仿宋" w:hAnsi="仿宋" w:eastAsia="仿宋" w:cs="仿宋"/>
          <w:b w:val="0"/>
          <w:color w:val="000000" w:themeColor="text1"/>
          <w:sz w:val="32"/>
          <w:szCs w:val="32"/>
          <w:u w:val="none"/>
          <w14:textFill>
            <w14:solidFill>
              <w14:schemeClr w14:val="tx1"/>
            </w14:solidFill>
          </w14:textFill>
        </w:rPr>
        <w:t>城市建设项目停车设施配建要求</w:t>
      </w:r>
      <w:bookmarkEnd w:id="8"/>
      <w:r>
        <w:rPr>
          <w:rFonts w:hint="eastAsia" w:ascii="仿宋" w:hAnsi="仿宋" w:eastAsia="仿宋" w:cs="仿宋"/>
          <w:b w:val="0"/>
          <w:color w:val="000000" w:themeColor="text1"/>
          <w:sz w:val="32"/>
          <w:szCs w:val="32"/>
          <w:u w:val="none"/>
          <w14:textFill>
            <w14:solidFill>
              <w14:schemeClr w14:val="tx1"/>
            </w14:solidFill>
          </w14:textFill>
        </w:rPr>
        <w:t>》DB3701/T45-2023执行，100%预留充电设施，不得设置在地下三层及以下楼层。</w:t>
      </w:r>
    </w:p>
    <w:p w14:paraId="27FF359D">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2.</w:t>
      </w:r>
      <w:r>
        <w:rPr>
          <w:rFonts w:hint="eastAsia" w:ascii="仿宋" w:hAnsi="仿宋" w:eastAsia="仿宋" w:cs="仿宋"/>
          <w:b w:val="0"/>
          <w:color w:val="000000" w:themeColor="text1"/>
          <w:sz w:val="32"/>
          <w:szCs w:val="32"/>
          <w:u w:val="none"/>
          <w:lang w:eastAsia="zh-CN"/>
          <w14:textFill>
            <w14:solidFill>
              <w14:schemeClr w14:val="tx1"/>
            </w14:solidFill>
          </w14:textFill>
        </w:rPr>
        <w:t>符合预留电动汽车充电桩设置要求的</w:t>
      </w:r>
      <w:r>
        <w:rPr>
          <w:rFonts w:hint="eastAsia" w:ascii="仿宋" w:hAnsi="仿宋" w:eastAsia="仿宋" w:cs="仿宋"/>
          <w:b w:val="0"/>
          <w:color w:val="000000" w:themeColor="text1"/>
          <w:sz w:val="32"/>
          <w:szCs w:val="32"/>
          <w:u w:val="none"/>
          <w14:textFill>
            <w14:solidFill>
              <w14:schemeClr w14:val="tx1"/>
            </w14:solidFill>
          </w14:textFill>
        </w:rPr>
        <w:t>地下汽车库按照不超过1000㎡划分防火单元。</w:t>
      </w:r>
    </w:p>
    <w:p w14:paraId="06BF2B32">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highlight w:val="yellow"/>
        </w:rPr>
      </w:pPr>
      <w:r>
        <w:rPr>
          <w:rFonts w:hint="eastAsia"/>
        </w:rPr>
        <w:t>1.11部分建筑中存在房中房的布局情况，会形成一定长度的短走道，且走道处的隔墙采用普通玻璃，如何把握？</w:t>
      </w:r>
    </w:p>
    <w:p w14:paraId="1F91790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套内房间最不利点至疏散门的距离满足规范对于房间最远点疏散要求的前提下，房间内套间可不做要求。</w:t>
      </w:r>
    </w:p>
    <w:p w14:paraId="7D32AB5F">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1.12消防水泵房与消防水泵控制室之间的观察窗能否采用普通玻璃窗或耐火窗？</w:t>
      </w:r>
    </w:p>
    <w:p w14:paraId="2F624CC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color w:val="000000" w:themeColor="text1"/>
          <w14:textFill>
            <w14:solidFill>
              <w14:schemeClr w14:val="tx1"/>
            </w14:solidFill>
          </w14:textFill>
        </w:rPr>
      </w:pPr>
      <w:r>
        <w:rPr>
          <w:rFonts w:hint="eastAsia"/>
          <w:b w:val="0"/>
          <w:bCs w:val="0"/>
        </w:rPr>
        <w:t>消防水泵控制室不兼做他用时，消防水泵控制室与消防</w:t>
      </w:r>
      <w:r>
        <w:rPr>
          <w:rFonts w:hint="eastAsia"/>
          <w:b w:val="0"/>
          <w:bCs w:val="0"/>
          <w:color w:val="000000" w:themeColor="text1"/>
          <w14:textFill>
            <w14:solidFill>
              <w14:schemeClr w14:val="tx1"/>
            </w14:solidFill>
          </w14:textFill>
        </w:rPr>
        <w:t>水泵房之间的观察窗的耐火性能可不做要求。</w:t>
      </w:r>
    </w:p>
    <w:p w14:paraId="5919BEF1">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1.13防火卷帘两侧是否都应设置温控释放装置？</w:t>
      </w:r>
    </w:p>
    <w:p w14:paraId="46E1E1A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2025年5月1日开始实施的《防火卷帘第1部分：通用技术条件》GB14102.1-2024第5.4.4条要求：卷门机中温控释放装置感温元件部分的安装方式、位置等应满足在火灾发生时快速启动的需求，且其水平安装位置应位于防火卷帘宽度方向的中部；双面受火的防火卷帘应配用两套感温元件，分别安装在每幅帘面的对应位置。</w:t>
      </w:r>
    </w:p>
    <w:p w14:paraId="455C9F5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1.14地下汽车库内连通各层的汽车坡道处设有自动喷水灭火系统时，不采用防火卷帘等防火分隔措施是否符合要求？</w:t>
      </w:r>
    </w:p>
    <w:p w14:paraId="08D0BAB1">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不符合要求。</w:t>
      </w:r>
    </w:p>
    <w:p w14:paraId="5952A9A9">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地下汽车库内上、下层属于不同的防火分区时，除到达室外地面的符合室外空间的坡道部位外，即使设有自动喷水灭火系统，坡道处也应采用防火卷帘等进行防火分隔。</w:t>
      </w:r>
    </w:p>
    <w:p w14:paraId="1C3B197B">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1.15不同的标准对于塑料管等受热后容易变形的管道的阻火设施的设置要求不一致，应如何把握？</w:t>
      </w:r>
    </w:p>
    <w:p w14:paraId="48C21EFA">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应依据《建筑防火封堵应用技术标准》GB/T51410-2020相关要求和具体做法设置。</w:t>
      </w:r>
    </w:p>
    <w:p w14:paraId="325A4F5E">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1.16《建筑内部装修设计防火规范》GB50222-2017第4.0.8条规定，无窗房间内部装修材料的燃烧性能等级除A级外，应在表5.1.1、表5.2.1、表5.3.1、表6.0.1、表6.0.5规定的基础上提高一级。对于医院的手术室等地面塑胶地板，应如何把握？</w:t>
      </w:r>
    </w:p>
    <w:p w14:paraId="7BE466C6">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无窗房间室内装修的要求强制性提高一级是根据无窗房间发生火灾时的特点确定的，火灾初起阶段不易被发觉；室内的烟雾和毒气不能及时排出；消防人员进行火情侦察和施救比较困难。因此，医院手术室等无窗房间，墙上应设有玻璃窗，能够观察到内部情况，并视面积情况设置机械防排烟系统。</w:t>
      </w:r>
    </w:p>
    <w:p w14:paraId="7E4E496B">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医院手术室内的排烟口应采取防倒灌措施，排烟口应采用板式排烟口，排烟阀应采用嵌入式安装方式，排烟阀表面应易于清洗、消毒。</w:t>
      </w:r>
    </w:p>
    <w:p w14:paraId="3D47697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当满足以上条件时，地面装饰材料的燃烧性能可不提高。</w:t>
      </w:r>
    </w:p>
    <w:p w14:paraId="2AD37469">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1.17《建筑设计防火规范》GB50016-2014（2018版）第5.5.32条：建筑高度大于54m的住宅建筑，每户应有一间房间符合下列规定：</w:t>
      </w:r>
    </w:p>
    <w:p w14:paraId="14994EE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t>1</w:t>
      </w:r>
      <w:r>
        <w:rPr>
          <w:rFonts w:hint="eastAsia"/>
        </w:rPr>
        <w:t>应靠外墙设置，并应设置可开启外窗；</w:t>
      </w:r>
    </w:p>
    <w:p w14:paraId="58B1F2F8">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color w:val="FF0000"/>
        </w:rPr>
      </w:pPr>
      <w:r>
        <w:t>2</w:t>
      </w:r>
      <w:r>
        <w:rPr>
          <w:rFonts w:hint="eastAsia"/>
        </w:rPr>
        <w:t>内、外墙体的耐火极限不应低于</w:t>
      </w:r>
      <w:r>
        <w:t>1.00h</w:t>
      </w:r>
      <w:r>
        <w:rPr>
          <w:rFonts w:hint="eastAsia"/>
        </w:rPr>
        <w:t>，该房间的门宜采用乙级防火门，外窗的耐火完整性不宜低于</w:t>
      </w:r>
      <w:r>
        <w:t>1.00h</w:t>
      </w:r>
      <w:r>
        <w:rPr>
          <w:rFonts w:hint="eastAsia"/>
        </w:rPr>
        <w:t>。</w:t>
      </w:r>
    </w:p>
    <w:p w14:paraId="0378A095">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color w:val="FF0000"/>
        </w:rPr>
      </w:pPr>
      <w:r>
        <w:rPr>
          <w:rFonts w:hint="eastAsia"/>
        </w:rPr>
        <w:t>现在大量住宅建筑采用卫生间或厨房作为“避难房间”设置，是否符合要求？</w:t>
      </w:r>
    </w:p>
    <w:p w14:paraId="1AE7F5F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厨房使用燃气的，不应作为“避难房间”使用。其它房间满足“避难房间”要求且耐火窗靠外墙设置时，可作为“避难房间”使用。</w:t>
      </w:r>
    </w:p>
    <w:p w14:paraId="68BED878">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1.18住宅建筑“避难房间”的防火门，是否需要设置闭门器？</w:t>
      </w:r>
    </w:p>
    <w:p w14:paraId="2C04EF3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“避难房间”的门作为户内门，可以不设闭门器。</w:t>
      </w:r>
    </w:p>
    <w:p w14:paraId="58862F34">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1.19人防区域内的排烟井道设有人防密闭门，做为排烟井的过渡区域，因密闭门未完全开启或防火门关闭不严影响排烟，如何处理？</w:t>
      </w:r>
    </w:p>
    <w:p w14:paraId="26E970D0">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人防区域集气室处的防火门应设闭门器，开启方向正确，防烟密封条应完整。集气室处的人防密闭门洞口应满足排烟面积要求，人防密闭门在平时应为常开状态，并应采取防止被误关闭的措施。</w:t>
      </w:r>
    </w:p>
    <w:p w14:paraId="73285B06">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rFonts w:hint="eastAsia" w:ascii="仿宋" w:hAnsi="仿宋" w:eastAsia="仿宋" w:cs="仿宋"/>
          <w:color w:val="000000" w:themeColor="text1"/>
          <w14:textFill>
            <w14:solidFill>
              <w14:schemeClr w14:val="tx1"/>
            </w14:solidFill>
          </w14:textFill>
        </w:rPr>
      </w:pPr>
      <w:r>
        <w:rPr>
          <w:rFonts w:hint="eastAsia"/>
        </w:rPr>
        <w:t>1.20新建（装修）工程关于大空间、大房间如何界定?疏散距离如何确定?内部房间隔墙（隔断）、形成的疏散走道耐火极限有何要求？</w:t>
      </w:r>
      <w:r>
        <w:rPr>
          <w:rFonts w:hint="eastAsia" w:ascii="仿宋" w:hAnsi="仿宋" w:eastAsia="仿宋" w:cs="仿宋"/>
          <w:color w:val="000000" w:themeColor="text1"/>
          <w14:textFill>
            <w14:solidFill>
              <w14:schemeClr w14:val="tx1"/>
            </w14:solidFill>
          </w14:textFill>
        </w:rPr>
        <w:t>“大空间”疏散门不能直通室外地面或疏散楼梯间形成短走道隔墙耐火极限如何要求？“大房间”疏散走道隔墙耐火极限如何要求？</w:t>
      </w:r>
    </w:p>
    <w:p w14:paraId="05CE058F">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lang w:eastAsia="zh-CN"/>
          <w14:textFill>
            <w14:solidFill>
              <w14:schemeClr w14:val="tx1"/>
            </w14:solidFill>
          </w14:textFill>
        </w:rPr>
      </w:pPr>
      <w:bookmarkStart w:id="9" w:name="_Hlk173935731"/>
      <w:r>
        <w:rPr>
          <w:rFonts w:hint="eastAsia" w:ascii="仿宋" w:hAnsi="仿宋" w:eastAsia="仿宋" w:cs="仿宋"/>
          <w:b w:val="0"/>
          <w:color w:val="000000" w:themeColor="text1"/>
          <w:sz w:val="32"/>
          <w:szCs w:val="32"/>
          <w:u w:val="none"/>
          <w14:textFill>
            <w14:solidFill>
              <w14:schemeClr w14:val="tx1"/>
            </w14:solidFill>
          </w14:textFill>
        </w:rPr>
        <w:t>1.</w:t>
      </w:r>
      <w:bookmarkStart w:id="10" w:name="_Hlk173934300"/>
      <w:r>
        <w:rPr>
          <w:rFonts w:hint="eastAsia" w:ascii="仿宋" w:hAnsi="仿宋" w:eastAsia="仿宋" w:cs="仿宋"/>
          <w:b w:val="0"/>
          <w:color w:val="000000" w:themeColor="text1"/>
          <w:sz w:val="32"/>
          <w:szCs w:val="32"/>
          <w:u w:val="none"/>
          <w14:textFill>
            <w14:solidFill>
              <w14:schemeClr w14:val="tx1"/>
            </w14:solidFill>
          </w14:textFill>
        </w:rPr>
        <w:t>“大空间”</w:t>
      </w:r>
      <w:bookmarkEnd w:id="10"/>
      <w:r>
        <w:rPr>
          <w:rFonts w:hint="eastAsia" w:ascii="仿宋" w:hAnsi="仿宋" w:eastAsia="仿宋" w:cs="仿宋"/>
          <w:b w:val="0"/>
          <w:color w:val="000000" w:themeColor="text1"/>
          <w:sz w:val="32"/>
          <w:szCs w:val="32"/>
          <w:u w:val="none"/>
          <w14:textFill>
            <w14:solidFill>
              <w14:schemeClr w14:val="tx1"/>
            </w14:solidFill>
          </w14:textFill>
        </w:rPr>
        <w:t>和“大房间”界定</w:t>
      </w:r>
    </w:p>
    <w:bookmarkEnd w:id="9"/>
    <w:p w14:paraId="6B0231D5">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“大空间”的房间疏散门应直通室外地面或疏散楼梯间，当房间疏散门不能</w:t>
      </w:r>
      <w:bookmarkStart w:id="11" w:name="_Hlk173933954"/>
      <w:r>
        <w:rPr>
          <w:rFonts w:hint="eastAsia" w:ascii="仿宋" w:hAnsi="仿宋" w:eastAsia="仿宋" w:cs="仿宋"/>
          <w:b w:val="0"/>
          <w:color w:val="000000" w:themeColor="text1"/>
          <w:sz w:val="32"/>
          <w:szCs w:val="32"/>
          <w:u w:val="none"/>
          <w14:textFill>
            <w14:solidFill>
              <w14:schemeClr w14:val="tx1"/>
            </w14:solidFill>
          </w14:textFill>
        </w:rPr>
        <w:t>直通室外地面或疏散楼梯间</w:t>
      </w:r>
      <w:bookmarkEnd w:id="11"/>
      <w:r>
        <w:rPr>
          <w:rFonts w:hint="eastAsia" w:ascii="仿宋" w:hAnsi="仿宋" w:eastAsia="仿宋" w:cs="仿宋"/>
          <w:b w:val="0"/>
          <w:color w:val="000000" w:themeColor="text1"/>
          <w:sz w:val="32"/>
          <w:szCs w:val="32"/>
          <w:u w:val="none"/>
          <w14:textFill>
            <w14:solidFill>
              <w14:schemeClr w14:val="tx1"/>
            </w14:solidFill>
          </w14:textFill>
        </w:rPr>
        <w:t>时，应采用长度不大于10m的疏散走道通至最近的安全出口，</w:t>
      </w:r>
      <w:bookmarkStart w:id="12" w:name="_Hlk173936219"/>
      <w:r>
        <w:rPr>
          <w:rFonts w:hint="eastAsia" w:ascii="仿宋" w:hAnsi="仿宋" w:eastAsia="仿宋" w:cs="仿宋"/>
          <w:b w:val="0"/>
          <w:color w:val="000000" w:themeColor="text1"/>
          <w:sz w:val="32"/>
          <w:szCs w:val="32"/>
          <w:u w:val="none"/>
          <w14:textFill>
            <w14:solidFill>
              <w14:schemeClr w14:val="tx1"/>
            </w14:solidFill>
          </w14:textFill>
        </w:rPr>
        <w:t>设置自动喷水灭火系统时，该疏散走道长度可增加25%。</w:t>
      </w:r>
      <w:bookmarkEnd w:id="12"/>
      <w:r>
        <w:rPr>
          <w:rFonts w:hint="eastAsia" w:ascii="仿宋" w:hAnsi="仿宋" w:eastAsia="仿宋" w:cs="仿宋"/>
          <w:b w:val="0"/>
          <w:color w:val="000000" w:themeColor="text1"/>
          <w:sz w:val="32"/>
          <w:szCs w:val="32"/>
          <w:u w:val="none"/>
          <w14:textFill>
            <w14:solidFill>
              <w14:schemeClr w14:val="tx1"/>
            </w14:solidFill>
          </w14:textFill>
        </w:rPr>
        <w:t>不能满足上述要求时，应按“大房间”进行防火设计。</w:t>
      </w:r>
    </w:p>
    <w:p w14:paraId="571E2968">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lang w:eastAsia="zh-CN"/>
          <w14:textFill>
            <w14:solidFill>
              <w14:schemeClr w14:val="tx1"/>
            </w14:solidFill>
          </w14:textFill>
        </w:rPr>
      </w:pPr>
      <w:bookmarkStart w:id="13" w:name="_Hlk173937000"/>
      <w:bookmarkStart w:id="14" w:name="_Hlk173936172"/>
      <w:r>
        <w:rPr>
          <w:rFonts w:hint="eastAsia" w:ascii="仿宋" w:hAnsi="仿宋" w:eastAsia="仿宋" w:cs="仿宋"/>
          <w:b w:val="0"/>
          <w:color w:val="000000" w:themeColor="text1"/>
          <w:sz w:val="32"/>
          <w:szCs w:val="32"/>
          <w:u w:val="none"/>
          <w14:textFill>
            <w14:solidFill>
              <w14:schemeClr w14:val="tx1"/>
            </w14:solidFill>
          </w14:textFill>
        </w:rPr>
        <w:t>2.“大空间”和“大房间”</w:t>
      </w:r>
      <w:bookmarkEnd w:id="13"/>
      <w:r>
        <w:rPr>
          <w:rFonts w:hint="eastAsia" w:ascii="仿宋" w:hAnsi="仿宋" w:eastAsia="仿宋" w:cs="仿宋"/>
          <w:b w:val="0"/>
          <w:color w:val="000000" w:themeColor="text1"/>
          <w:sz w:val="32"/>
          <w:szCs w:val="32"/>
          <w:u w:val="none"/>
          <w14:textFill>
            <w14:solidFill>
              <w14:schemeClr w14:val="tx1"/>
            </w14:solidFill>
          </w14:textFill>
        </w:rPr>
        <w:t>疏散距离</w:t>
      </w:r>
      <w:bookmarkEnd w:id="14"/>
    </w:p>
    <w:p w14:paraId="6691AE98">
      <w:pPr>
        <w:pStyle w:val="119"/>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14:textFill>
            <w14:solidFill>
              <w14:schemeClr w14:val="tx1"/>
            </w14:solidFill>
          </w14:textFill>
        </w:rPr>
      </w:pPr>
      <w:r>
        <w:rPr>
          <w:rFonts w:hint="eastAsia" w:ascii="仿宋" w:hAnsi="仿宋" w:eastAsia="仿宋" w:cs="仿宋"/>
          <w:b w:val="0"/>
          <w:color w:val="000000" w:themeColor="text1"/>
          <w:sz w:val="32"/>
          <w:szCs w:val="32"/>
          <w14:textFill>
            <w14:solidFill>
              <w14:schemeClr w14:val="tx1"/>
            </w14:solidFill>
          </w14:textFill>
        </w:rPr>
        <w:t>（1）“大空间”疏散距离的确定：一、二级耐火等级建筑内</w:t>
      </w:r>
      <w:bookmarkStart w:id="15" w:name="_Hlk173935900"/>
      <w:r>
        <w:rPr>
          <w:rFonts w:hint="eastAsia" w:ascii="仿宋" w:hAnsi="仿宋" w:eastAsia="仿宋" w:cs="仿宋"/>
          <w:b w:val="0"/>
          <w:color w:val="000000" w:themeColor="text1"/>
          <w:sz w:val="32"/>
          <w:szCs w:val="32"/>
          <w14:textFill>
            <w14:solidFill>
              <w14:schemeClr w14:val="tx1"/>
            </w14:solidFill>
          </w14:textFill>
        </w:rPr>
        <w:t>疏散门或安全出口</w:t>
      </w:r>
      <w:bookmarkEnd w:id="15"/>
      <w:r>
        <w:rPr>
          <w:rFonts w:hint="eastAsia" w:ascii="仿宋" w:hAnsi="仿宋" w:eastAsia="仿宋" w:cs="仿宋"/>
          <w:b w:val="0"/>
          <w:color w:val="000000" w:themeColor="text1"/>
          <w:sz w:val="32"/>
          <w:szCs w:val="32"/>
          <w14:textFill>
            <w14:solidFill>
              <w14:schemeClr w14:val="tx1"/>
            </w14:solidFill>
          </w14:textFill>
        </w:rPr>
        <w:t>不少于2个的观众厅、展览厅、多功能厅、餐厅、营业厅、大空间办公等，</w:t>
      </w:r>
      <w:bookmarkStart w:id="16" w:name="_Hlk173936291"/>
      <w:r>
        <w:rPr>
          <w:rFonts w:hint="eastAsia" w:ascii="仿宋" w:hAnsi="仿宋" w:eastAsia="仿宋" w:cs="仿宋"/>
          <w:b w:val="0"/>
          <w:color w:val="000000" w:themeColor="text1"/>
          <w:sz w:val="32"/>
          <w:szCs w:val="32"/>
          <w14:textFill>
            <w14:solidFill>
              <w14:schemeClr w14:val="tx1"/>
            </w14:solidFill>
          </w14:textFill>
        </w:rPr>
        <w:t>当室内任一点与两个疏散门或安全出口连线的夹角≥45度时，其至最近疏散门或安全出口的直线距离不应大于30m</w:t>
      </w:r>
      <w:bookmarkEnd w:id="16"/>
      <w:r>
        <w:rPr>
          <w:rFonts w:hint="eastAsia" w:ascii="仿宋" w:hAnsi="仿宋" w:eastAsia="仿宋" w:cs="仿宋"/>
          <w:b w:val="0"/>
          <w:color w:val="000000" w:themeColor="text1"/>
          <w:sz w:val="32"/>
          <w:szCs w:val="32"/>
          <w14:textFill>
            <w14:solidFill>
              <w14:schemeClr w14:val="tx1"/>
            </w14:solidFill>
          </w14:textFill>
        </w:rPr>
        <w:t>，当室内任一点与两个疏散门或安全出口连线的夹角＜45度时，其</w:t>
      </w:r>
      <w:bookmarkStart w:id="17" w:name="_Hlk173936504"/>
      <w:r>
        <w:rPr>
          <w:rFonts w:hint="eastAsia" w:ascii="仿宋" w:hAnsi="仿宋" w:eastAsia="仿宋" w:cs="仿宋"/>
          <w:b w:val="0"/>
          <w:color w:val="000000" w:themeColor="text1"/>
          <w:sz w:val="32"/>
          <w:szCs w:val="32"/>
          <w14:textFill>
            <w14:solidFill>
              <w14:schemeClr w14:val="tx1"/>
            </w14:solidFill>
          </w14:textFill>
        </w:rPr>
        <w:t>至最近疏散门或安全出口的直线距离不应大于《建筑设计防火规范》GB50016—2014（2018年版）表5.5.17规定的袋形走道两侧或尽端的疏散门至最近安全出口的直线距离。</w:t>
      </w:r>
      <w:bookmarkEnd w:id="17"/>
      <w:r>
        <w:rPr>
          <w:rFonts w:hint="eastAsia" w:ascii="仿宋" w:hAnsi="仿宋" w:eastAsia="仿宋" w:cs="仿宋"/>
          <w:b w:val="0"/>
          <w:color w:val="000000" w:themeColor="text1"/>
          <w:sz w:val="32"/>
          <w:szCs w:val="32"/>
          <w14:textFill>
            <w14:solidFill>
              <w14:schemeClr w14:val="tx1"/>
            </w14:solidFill>
          </w14:textFill>
        </w:rPr>
        <w:t>设置自动喷水灭火系统时，该疏散距离可增加25%。</w:t>
      </w:r>
    </w:p>
    <w:p w14:paraId="52C3D4B2">
      <w:pPr>
        <w:pStyle w:val="119"/>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14:textFill>
            <w14:solidFill>
              <w14:schemeClr w14:val="tx1"/>
            </w14:solidFill>
          </w14:textFill>
        </w:rPr>
      </w:pPr>
      <w:r>
        <w:rPr>
          <w:rFonts w:hint="eastAsia" w:ascii="仿宋" w:hAnsi="仿宋" w:eastAsia="仿宋" w:cs="仿宋"/>
          <w:b w:val="0"/>
          <w:color w:val="000000" w:themeColor="text1"/>
          <w:sz w:val="32"/>
          <w:szCs w:val="32"/>
          <w14:textFill>
            <w14:solidFill>
              <w14:schemeClr w14:val="tx1"/>
            </w14:solidFill>
          </w14:textFill>
        </w:rPr>
        <w:t>（2）“大房间”内任一点至房间直通疏散走道的疏散门的直线距离不应大于《建筑设计防火规范》GB50016—2014（2018年版）表5.5.17规定的袋形走道两侧或尽端的疏散门至最近安全出口的直线距离。房间疏散门至最近安全出口的距离按照相应要求执行。</w:t>
      </w:r>
    </w:p>
    <w:p w14:paraId="44A05FC1">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ascii="仿宋" w:hAnsi="仿宋" w:eastAsia="仿宋" w:cs="仿宋"/>
          <w:b w:val="0"/>
          <w:bCs/>
          <w:color w:val="000000" w:themeColor="text1"/>
          <w:kern w:val="44"/>
          <w:sz w:val="32"/>
          <w:szCs w:val="32"/>
          <w:u w:val="none"/>
          <w:lang w:val="en-US" w:eastAsia="zh-CN" w:bidi="ar-SA"/>
          <w14:textFill>
            <w14:solidFill>
              <w14:schemeClr w14:val="tx1"/>
            </w14:solidFill>
          </w14:textFill>
        </w:rPr>
      </w:pPr>
      <w:bookmarkStart w:id="18" w:name="_Hlk173937224"/>
      <w:r>
        <w:rPr>
          <w:rFonts w:hint="eastAsia" w:ascii="仿宋" w:hAnsi="仿宋" w:eastAsia="仿宋" w:cs="仿宋"/>
          <w:b w:val="0"/>
          <w:bCs/>
          <w:color w:val="000000" w:themeColor="text1"/>
          <w:kern w:val="44"/>
          <w:sz w:val="32"/>
          <w:szCs w:val="32"/>
          <w:u w:val="none"/>
          <w:lang w:val="en-US" w:eastAsia="zh-CN" w:bidi="ar-SA"/>
          <w14:textFill>
            <w14:solidFill>
              <w14:schemeClr w14:val="tx1"/>
            </w14:solidFill>
          </w14:textFill>
        </w:rPr>
        <w:t>3.“大空间”和“大房间”</w:t>
      </w:r>
      <w:bookmarkEnd w:id="18"/>
      <w:r>
        <w:rPr>
          <w:rFonts w:hint="eastAsia" w:ascii="仿宋" w:hAnsi="仿宋" w:eastAsia="仿宋" w:cs="仿宋"/>
          <w:b w:val="0"/>
          <w:bCs/>
          <w:color w:val="000000" w:themeColor="text1"/>
          <w:kern w:val="44"/>
          <w:sz w:val="32"/>
          <w:szCs w:val="32"/>
          <w:u w:val="none"/>
          <w:lang w:val="en-US" w:eastAsia="zh-CN" w:bidi="ar-SA"/>
          <w14:textFill>
            <w14:solidFill>
              <w14:schemeClr w14:val="tx1"/>
            </w14:solidFill>
          </w14:textFill>
        </w:rPr>
        <w:t>内部房间隔墙（隔断）、形成的疏散走道耐火极限要求</w:t>
      </w:r>
    </w:p>
    <w:p w14:paraId="5B1CADCC">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大空间”或“大房间”由隔墙或者隔断组成多个小房间，并形成很多疏散通道，当“大空间”或“大房间”内任一点至疏散出口的疏散距离满足上述疏散距离的规定时，“大空间”或“大房间”内部的疏散通道可不需要防火保护，疏散通道两侧的</w:t>
      </w:r>
      <w:bookmarkStart w:id="19" w:name="_Hlk173937621"/>
      <w:r>
        <w:rPr>
          <w:rFonts w:hint="eastAsia" w:ascii="仿宋" w:hAnsi="仿宋" w:eastAsia="仿宋" w:cs="仿宋"/>
          <w:b w:val="0"/>
          <w:color w:val="000000" w:themeColor="text1"/>
          <w:sz w:val="32"/>
          <w:szCs w:val="32"/>
          <w:u w:val="none"/>
          <w14:textFill>
            <w14:solidFill>
              <w14:schemeClr w14:val="tx1"/>
            </w14:solidFill>
          </w14:textFill>
        </w:rPr>
        <w:t>隔墙或隔断</w:t>
      </w:r>
      <w:bookmarkEnd w:id="19"/>
      <w:r>
        <w:rPr>
          <w:rFonts w:hint="eastAsia" w:ascii="仿宋" w:hAnsi="仿宋" w:eastAsia="仿宋" w:cs="仿宋"/>
          <w:b w:val="0"/>
          <w:color w:val="000000" w:themeColor="text1"/>
          <w:sz w:val="32"/>
          <w:szCs w:val="32"/>
          <w:u w:val="none"/>
          <w14:textFill>
            <w14:solidFill>
              <w14:schemeClr w14:val="tx1"/>
            </w14:solidFill>
          </w14:textFill>
        </w:rPr>
        <w:t>没有耐火极限要求，房间隔墙或隔断耐火极限不作要求，但应采用不燃材料。但因隔墙或隔断的存在阻挡了疏散，疏散距离应按折线计算。</w:t>
      </w:r>
    </w:p>
    <w:p w14:paraId="54636128">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lang w:eastAsia="zh-CN"/>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4.“大空间”疏散门不能直通室外地面或疏散楼梯间形成短走道隔墙耐火极限要求</w:t>
      </w:r>
      <w:r>
        <w:rPr>
          <w:rFonts w:hint="eastAsia" w:ascii="仿宋" w:hAnsi="仿宋" w:eastAsia="仿宋" w:cs="仿宋"/>
          <w:b w:val="0"/>
          <w:color w:val="000000" w:themeColor="text1"/>
          <w:sz w:val="32"/>
          <w:szCs w:val="32"/>
          <w:u w:val="none"/>
          <w:lang w:eastAsia="zh-CN"/>
          <w14:textFill>
            <w14:solidFill>
              <w14:schemeClr w14:val="tx1"/>
            </w14:solidFill>
          </w14:textFill>
        </w:rPr>
        <w:t>、</w:t>
      </w:r>
      <w:r>
        <w:rPr>
          <w:rFonts w:hint="eastAsia" w:ascii="仿宋" w:hAnsi="仿宋" w:eastAsia="仿宋" w:cs="仿宋"/>
          <w:b w:val="0"/>
          <w:color w:val="000000" w:themeColor="text1"/>
          <w:sz w:val="32"/>
          <w:szCs w:val="32"/>
          <w:u w:val="none"/>
          <w14:textFill>
            <w14:solidFill>
              <w14:schemeClr w14:val="tx1"/>
            </w14:solidFill>
          </w14:textFill>
        </w:rPr>
        <w:t>“大房间”疏散走道隔墙耐火极限要求</w:t>
      </w:r>
    </w:p>
    <w:p w14:paraId="2918A85A">
      <w:pPr>
        <w:keepNext w:val="0"/>
        <w:keepLines w:val="0"/>
        <w:pageBreakBefore w:val="0"/>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FF"/>
          <w:sz w:val="36"/>
          <w:szCs w:val="32"/>
          <w:u w:val="none"/>
        </w:rPr>
      </w:pPr>
      <w:r>
        <w:rPr>
          <w:rFonts w:hint="eastAsia" w:ascii="仿宋" w:hAnsi="仿宋" w:eastAsia="仿宋" w:cs="仿宋"/>
          <w:b w:val="0"/>
          <w:color w:val="000000" w:themeColor="text1"/>
          <w:sz w:val="32"/>
          <w:szCs w:val="32"/>
          <w:u w:val="none"/>
          <w14:textFill>
            <w14:solidFill>
              <w14:schemeClr w14:val="tx1"/>
            </w14:solidFill>
          </w14:textFill>
        </w:rPr>
        <w:t>“大空间”疏散门不能直通室外地面或疏散楼梯间形成短走道隔墙以及“大房间”疏散走道隔墙应符合疏散走道隔墙耐火极限的要求。</w:t>
      </w:r>
    </w:p>
    <w:p w14:paraId="05719B9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color w:val="FF0000"/>
        </w:rPr>
      </w:pPr>
      <w:r>
        <w:rPr>
          <w:rFonts w:hint="eastAsia"/>
        </w:rPr>
        <w:t>1.21汽车库内任一点至最近人员安全出口的疏散距离不应大于45.0m，当设置自动灭火系统时，其距离不应大于60.0m，对于单层或设置在建筑首层的汽车库，室内任一点至室外最近出口的疏散距离不应大于60.0m。上述距离是指汽车库内任一点至安全出口的直线距离，还是躲避开车位后的折线距离，如何把握？利用车位做为疏散通道使用的，如何处理？</w:t>
      </w:r>
    </w:p>
    <w:p w14:paraId="53E69101">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汽车库内任一点至最近人员安全出口的疏散距离是指直线距离。</w:t>
      </w:r>
    </w:p>
    <w:p w14:paraId="10894AD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pPr>
      <w:r>
        <w:drawing>
          <wp:inline distT="0" distB="0" distL="0" distR="0">
            <wp:extent cx="1292860" cy="2160270"/>
            <wp:effectExtent l="0" t="0" r="2540" b="11430"/>
            <wp:docPr id="20" name="图片 1" descr="D:\Personal\My Documents\WeChat Files\wxid_nh5hegdeysbc12\FileStorage\Temp\17086022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Personal\My Documents\WeChat Files\wxid_nh5hegdeysbc12\FileStorage\Temp\1708602203535.png"/>
                    <pic:cNvPicPr>
                      <a:picLocks noChangeAspect="1" noChangeArrowheads="1"/>
                    </pic:cNvPicPr>
                  </pic:nvPicPr>
                  <pic:blipFill>
                    <a:blip r:embed="rId15" cstate="print"/>
                    <a:srcRect r="71385"/>
                    <a:stretch>
                      <a:fillRect/>
                    </a:stretch>
                  </pic:blipFill>
                  <pic:spPr>
                    <a:xfrm>
                      <a:off x="0" y="0"/>
                      <a:ext cx="1292860" cy="2160270"/>
                    </a:xfrm>
                    <a:prstGeom prst="rect">
                      <a:avLst/>
                    </a:prstGeom>
                    <a:noFill/>
                    <a:ln w="9525">
                      <a:noFill/>
                      <a:miter lim="800000"/>
                      <a:headEnd/>
                      <a:tailEnd/>
                    </a:ln>
                  </pic:spPr>
                </pic:pic>
              </a:graphicData>
            </a:graphic>
          </wp:inline>
        </w:drawing>
      </w:r>
      <w:r>
        <w:drawing>
          <wp:inline distT="0" distB="0" distL="0" distR="0">
            <wp:extent cx="1514475" cy="2160270"/>
            <wp:effectExtent l="0" t="0" r="9525" b="11430"/>
            <wp:docPr id="2" name="图片 1" descr="D:\Personal\My Documents\WeChat Files\wxid_nh5hegdeysbc12\FileStorage\Temp\17086022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Personal\My Documents\WeChat Files\wxid_nh5hegdeysbc12\FileStorage\Temp\1708602203535.png"/>
                    <pic:cNvPicPr>
                      <a:picLocks noChangeAspect="1" noChangeArrowheads="1"/>
                    </pic:cNvPicPr>
                  </pic:nvPicPr>
                  <pic:blipFill>
                    <a:blip r:embed="rId15" cstate="print"/>
                    <a:srcRect l="27594" r="38880"/>
                    <a:stretch>
                      <a:fillRect/>
                    </a:stretch>
                  </pic:blipFill>
                  <pic:spPr>
                    <a:xfrm>
                      <a:off x="0" y="0"/>
                      <a:ext cx="1514475" cy="2160270"/>
                    </a:xfrm>
                    <a:prstGeom prst="rect">
                      <a:avLst/>
                    </a:prstGeom>
                    <a:noFill/>
                    <a:ln w="9525">
                      <a:noFill/>
                      <a:miter lim="800000"/>
                      <a:headEnd/>
                      <a:tailEnd/>
                    </a:ln>
                  </pic:spPr>
                </pic:pic>
              </a:graphicData>
            </a:graphic>
          </wp:inline>
        </w:drawing>
      </w:r>
      <w:r>
        <w:drawing>
          <wp:inline distT="0" distB="0" distL="0" distR="0">
            <wp:extent cx="1790065" cy="2160270"/>
            <wp:effectExtent l="0" t="0" r="635" b="11430"/>
            <wp:docPr id="5" name="图片 1" descr="D:\Personal\My Documents\WeChat Files\wxid_nh5hegdeysbc12\FileStorage\Temp\17086022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Personal\My Documents\WeChat Files\wxid_nh5hegdeysbc12\FileStorage\Temp\1708602203535.png"/>
                    <pic:cNvPicPr>
                      <a:picLocks noChangeAspect="1" noChangeArrowheads="1"/>
                    </pic:cNvPicPr>
                  </pic:nvPicPr>
                  <pic:blipFill>
                    <a:blip r:embed="rId15" cstate="print"/>
                    <a:srcRect l="60375"/>
                    <a:stretch>
                      <a:fillRect/>
                    </a:stretch>
                  </pic:blipFill>
                  <pic:spPr>
                    <a:xfrm>
                      <a:off x="0" y="0"/>
                      <a:ext cx="1790065" cy="2160270"/>
                    </a:xfrm>
                    <a:prstGeom prst="rect">
                      <a:avLst/>
                    </a:prstGeom>
                    <a:noFill/>
                    <a:ln w="9525">
                      <a:noFill/>
                      <a:miter lim="800000"/>
                      <a:headEnd/>
                      <a:tailEnd/>
                    </a:ln>
                  </pic:spPr>
                </pic:pic>
              </a:graphicData>
            </a:graphic>
          </wp:inline>
        </w:drawing>
      </w:r>
    </w:p>
    <w:p w14:paraId="2318B621">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图1</w:t>
      </w:r>
      <w:r>
        <w:rPr>
          <w:rFonts w:hint="eastAsia" w:ascii="楷体_GB2312" w:hAnsi="楷体_GB2312" w:eastAsia="楷体_GB2312" w:cs="楷体_GB2312"/>
          <w:b/>
          <w:bCs/>
          <w:sz w:val="24"/>
          <w:szCs w:val="24"/>
          <w:lang w:val="en-US" w:eastAsia="zh-CN"/>
        </w:rPr>
        <w:t>.6 示意图</w:t>
      </w:r>
    </w:p>
    <w:p w14:paraId="0480C5F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停车位不得影响疏散出口的疏散宽度，应充分考虑机械停车位对疏散路线的影响。</w:t>
      </w:r>
    </w:p>
    <w:p w14:paraId="34BC42C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1.22建筑高度大于27.0m不大于54.0m的住宅建筑，每个单元仅设置了一个安全出口，且该出口在建筑的顶部均设置了开向建筑屋顶的开启外门，但是两个单元之间存在有高度差，无法真正满足具备两个安全出口的条件，应如何把握？</w:t>
      </w:r>
    </w:p>
    <w:p w14:paraId="56336A06">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按照《建筑设计防火规范》GB50016-2014（2018版）第5.5.26条执行。</w:t>
      </w:r>
      <w:r>
        <w:rPr>
          <w:b w:val="0"/>
          <w:bCs w:val="0"/>
        </w:rPr>
        <w:t>当有2个及以上住宅单元时，其疏散楼梯均应通至屋面连通；当任何一个单元，其疏散楼梯不能通至屋面时，每个单元均应设置2个安全出口。</w:t>
      </w:r>
    </w:p>
    <w:p w14:paraId="6E714850">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b w:val="0"/>
          <w:bCs w:val="0"/>
        </w:rPr>
        <w:t>疏散方案如下：</w:t>
      </w:r>
    </w:p>
    <w:p w14:paraId="1EF92C8F">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4153535" cy="2016125"/>
            <wp:effectExtent l="0" t="0" r="18415" b="3175"/>
            <wp:docPr id="10" name="图片 1" descr="D:\Personal\Desktop\1705974528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Personal\Desktop\1705974528238.png"/>
                    <pic:cNvPicPr>
                      <a:picLocks noChangeAspect="1" noChangeArrowheads="1"/>
                    </pic:cNvPicPr>
                  </pic:nvPicPr>
                  <pic:blipFill>
                    <a:blip r:embed="rId16"/>
                    <a:srcRect l="1766" t="5220" r="1342" b="20500"/>
                    <a:stretch>
                      <a:fillRect/>
                    </a:stretch>
                  </pic:blipFill>
                  <pic:spPr>
                    <a:xfrm>
                      <a:off x="0" y="0"/>
                      <a:ext cx="4153535" cy="2016125"/>
                    </a:xfrm>
                    <a:prstGeom prst="rect">
                      <a:avLst/>
                    </a:prstGeom>
                    <a:noFill/>
                    <a:ln w="9525">
                      <a:noFill/>
                      <a:miter lim="800000"/>
                      <a:headEnd/>
                      <a:tailEnd/>
                    </a:ln>
                  </pic:spPr>
                </pic:pic>
              </a:graphicData>
            </a:graphic>
          </wp:inline>
        </w:drawing>
      </w:r>
    </w:p>
    <w:p w14:paraId="18677E14">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图1</w:t>
      </w:r>
      <w:r>
        <w:rPr>
          <w:rFonts w:hint="eastAsia" w:ascii="楷体_GB2312" w:hAnsi="楷体_GB2312" w:eastAsia="楷体_GB2312" w:cs="楷体_GB2312"/>
          <w:b/>
          <w:bCs/>
          <w:sz w:val="24"/>
          <w:szCs w:val="24"/>
          <w:lang w:val="en-US" w:eastAsia="zh-CN"/>
        </w:rPr>
        <w:t xml:space="preserve">.7 </w:t>
      </w:r>
      <w:r>
        <w:rPr>
          <w:rFonts w:hint="eastAsia" w:ascii="楷体_GB2312" w:hAnsi="楷体_GB2312" w:eastAsia="楷体_GB2312" w:cs="楷体_GB2312"/>
          <w:b/>
          <w:bCs/>
          <w:sz w:val="24"/>
          <w:szCs w:val="24"/>
        </w:rPr>
        <w:t>27m&lt;建筑高度≤54m的住宅建筑较低单元屋顶平面示意图（一）</w:t>
      </w:r>
    </w:p>
    <w:p w14:paraId="64B822E2">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3381375" cy="2016125"/>
            <wp:effectExtent l="0" t="0" r="9525" b="3175"/>
            <wp:docPr id="11" name="图片 2" descr="D:\Personal\Desktop\1705974880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Personal\Desktop\1705974880972.png"/>
                    <pic:cNvPicPr>
                      <a:picLocks noChangeAspect="1" noChangeArrowheads="1"/>
                    </pic:cNvPicPr>
                  </pic:nvPicPr>
                  <pic:blipFill>
                    <a:blip r:embed="rId17"/>
                    <a:srcRect l="2157" t="7580" r="75" b="12"/>
                    <a:stretch>
                      <a:fillRect/>
                    </a:stretch>
                  </pic:blipFill>
                  <pic:spPr>
                    <a:xfrm>
                      <a:off x="0" y="0"/>
                      <a:ext cx="3381375" cy="2016125"/>
                    </a:xfrm>
                    <a:prstGeom prst="rect">
                      <a:avLst/>
                    </a:prstGeom>
                    <a:noFill/>
                    <a:ln w="9525">
                      <a:noFill/>
                      <a:miter lim="800000"/>
                      <a:headEnd/>
                      <a:tailEnd/>
                    </a:ln>
                  </pic:spPr>
                </pic:pic>
              </a:graphicData>
            </a:graphic>
          </wp:inline>
        </w:drawing>
      </w:r>
    </w:p>
    <w:p w14:paraId="3F18154C">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1.8 </w:t>
      </w:r>
      <w:r>
        <w:rPr>
          <w:rFonts w:hint="eastAsia" w:ascii="楷体_GB2312" w:hAnsi="楷体_GB2312" w:eastAsia="楷体_GB2312" w:cs="楷体_GB2312"/>
          <w:b/>
          <w:bCs/>
          <w:sz w:val="24"/>
          <w:szCs w:val="24"/>
        </w:rPr>
        <w:t>27m&lt;建筑高度≤54m的住宅建筑较低单元屋顶立面示意图（二）</w:t>
      </w:r>
    </w:p>
    <w:p w14:paraId="18232969">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有条件的情况下，存在高差的两单元间应在屋面高差处设置室外疏散楼梯，确有困难时可增加金属竖向梯。</w:t>
      </w:r>
    </w:p>
    <w:p w14:paraId="462C4DB8">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rPr>
          <w:rFonts w:hint="eastAsia"/>
        </w:rPr>
        <w:drawing>
          <wp:inline distT="0" distB="0" distL="114300" distR="114300">
            <wp:extent cx="3307715" cy="2016125"/>
            <wp:effectExtent l="0" t="0" r="6985" b="3175"/>
            <wp:docPr id="8" name="图片 8" descr="173329883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3298832046"/>
                    <pic:cNvPicPr>
                      <a:picLocks noChangeAspect="1"/>
                    </pic:cNvPicPr>
                  </pic:nvPicPr>
                  <pic:blipFill>
                    <a:blip r:embed="rId18"/>
                    <a:srcRect l="2938" t="7307" r="730" b="2463"/>
                    <a:stretch>
                      <a:fillRect/>
                    </a:stretch>
                  </pic:blipFill>
                  <pic:spPr>
                    <a:xfrm>
                      <a:off x="0" y="0"/>
                      <a:ext cx="3307715" cy="2016125"/>
                    </a:xfrm>
                    <a:prstGeom prst="rect">
                      <a:avLst/>
                    </a:prstGeom>
                  </pic:spPr>
                </pic:pic>
              </a:graphicData>
            </a:graphic>
          </wp:inline>
        </w:drawing>
      </w:r>
    </w:p>
    <w:p w14:paraId="56D7B0DA">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1.9 </w:t>
      </w:r>
      <w:r>
        <w:rPr>
          <w:rFonts w:hint="eastAsia" w:ascii="楷体_GB2312" w:hAnsi="楷体_GB2312" w:eastAsia="楷体_GB2312" w:cs="楷体_GB2312"/>
          <w:b/>
          <w:bCs/>
          <w:sz w:val="24"/>
          <w:szCs w:val="24"/>
        </w:rPr>
        <w:t>27m&lt;建筑高度≤54m的住宅建筑较低单元屋顶金属竖向梯示意图（三）</w:t>
      </w:r>
    </w:p>
    <w:p w14:paraId="69E4326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1.23建筑面积小于500m</w:t>
      </w:r>
      <w:r>
        <w:rPr>
          <w:rFonts w:hint="eastAsia"/>
          <w:vertAlign w:val="superscript"/>
        </w:rPr>
        <w:t>2</w:t>
      </w:r>
      <w:r>
        <w:rPr>
          <w:rFonts w:hint="eastAsia"/>
        </w:rPr>
        <w:t>的只有1个单元的住宅建筑的地下储藏间，第2个安全出口可否采用金属竖向梯？图集中金属竖向梯处未做防火分隔，是否可行？金属竖向梯处应设哪些消防设施？</w:t>
      </w:r>
      <w:bookmarkStart w:id="20" w:name="OLE_LINK3"/>
      <w:bookmarkStart w:id="21" w:name="OLE_LINK2"/>
      <w:r>
        <w:rPr>
          <w:rFonts w:hint="eastAsia"/>
        </w:rPr>
        <w:t>出地面的出口</w:t>
      </w:r>
      <w:bookmarkEnd w:id="20"/>
      <w:bookmarkEnd w:id="21"/>
      <w:r>
        <w:rPr>
          <w:rFonts w:hint="eastAsia"/>
        </w:rPr>
        <w:t>应如何防护？</w:t>
      </w:r>
    </w:p>
    <w:p w14:paraId="1133E40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eastAsia="仿宋_GB2312"/>
          <w:b w:val="0"/>
          <w:bCs w:val="0"/>
          <w:lang w:eastAsia="zh-CN"/>
        </w:rPr>
      </w:pPr>
      <w:r>
        <w:rPr>
          <w:rFonts w:hint="eastAsia"/>
          <w:b w:val="0"/>
          <w:bCs w:val="0"/>
        </w:rPr>
        <w:t>1.住宅建筑的地下储藏间，可以采用金属竖向梯作为第2个安全出口</w:t>
      </w:r>
      <w:r>
        <w:rPr>
          <w:rFonts w:hint="eastAsia"/>
          <w:b w:val="0"/>
          <w:bCs w:val="0"/>
          <w:lang w:eastAsia="zh-CN"/>
        </w:rPr>
        <w:t>；</w:t>
      </w:r>
    </w:p>
    <w:p w14:paraId="5D99F2F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eastAsia="仿宋_GB2312"/>
          <w:b w:val="0"/>
          <w:bCs w:val="0"/>
          <w:lang w:eastAsia="zh-CN"/>
        </w:rPr>
      </w:pPr>
      <w:r>
        <w:rPr>
          <w:rFonts w:hint="eastAsia"/>
          <w:b w:val="0"/>
          <w:bCs w:val="0"/>
        </w:rPr>
        <w:t>2.当采用金属竖向梯作为安全出口时，楼板处应设内外易于开启的顶盖。为保证竖向梯疏散的安全性，避免产生烟囱效应，竖向梯处应采用不小于2.0h的防火隔墙和乙级防火门与其它区域进行分隔</w:t>
      </w:r>
      <w:r>
        <w:rPr>
          <w:rFonts w:hint="eastAsia"/>
          <w:b w:val="0"/>
          <w:bCs w:val="0"/>
          <w:lang w:eastAsia="zh-CN"/>
        </w:rPr>
        <w:t>；</w:t>
      </w:r>
    </w:p>
    <w:p w14:paraId="6A1B2F1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eastAsia="仿宋_GB2312"/>
          <w:b w:val="0"/>
          <w:bCs w:val="0"/>
          <w:lang w:eastAsia="zh-CN"/>
        </w:rPr>
      </w:pPr>
      <w:r>
        <w:rPr>
          <w:rFonts w:hint="eastAsia"/>
          <w:b w:val="0"/>
          <w:bCs w:val="0"/>
        </w:rPr>
        <w:t>3.金属竖向梯处应设应急照明和疏散指示标志</w:t>
      </w:r>
      <w:r>
        <w:rPr>
          <w:rFonts w:hint="eastAsia"/>
          <w:b w:val="0"/>
          <w:bCs w:val="0"/>
          <w:lang w:eastAsia="zh-CN"/>
        </w:rPr>
        <w:t>；</w:t>
      </w:r>
    </w:p>
    <w:p w14:paraId="3E22463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strike/>
        </w:rPr>
      </w:pPr>
      <w:r>
        <w:rPr>
          <w:rFonts w:hint="eastAsia"/>
          <w:b w:val="0"/>
          <w:bCs w:val="0"/>
        </w:rPr>
        <w:t>4.在满足上述1至3款条件的前提下，出地面的出口与地上门窗洞口的间距不做要求。</w:t>
      </w:r>
    </w:p>
    <w:p w14:paraId="5B3F7F40">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1.24多层公共建筑的楼梯间首层疏散门和首层疏散外门的净宽度如何要求？</w:t>
      </w:r>
    </w:p>
    <w:p w14:paraId="240794B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除不用作其他楼层人员疏散并直通室外地面的外门总净宽度，可按本层的疏散人数计算确定外，首层疏散外门、楼梯间首层疏散门的总净宽度应按该建筑疏散人数最多一层的人数计算确定。</w:t>
      </w:r>
    </w:p>
    <w:p w14:paraId="17B14C2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《建筑防火通用规范》GB55037-2022第7.1.4条第3款规定，疏散走道、首层疏散外门、公共建筑中的室内疏散楼梯的净宽度均不应小于1.1m。</w:t>
      </w:r>
    </w:p>
    <w:p w14:paraId="398F9104">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人员密集的公共场所，疏散净宽度应按《建筑设计防火规范》GB50016-2014（2018版）第5.5.19条规定的1.4m执行。此处人员密集的公共场所是指营业厅、观众厅，礼堂、电影院、剧院和体育场馆的观众厅，公共娱乐场所中出入大厅、舞厅，候机（车、船）厅及医院的门诊大厅等面积较大、同一时间聚集人数较多的场所。</w:t>
      </w:r>
    </w:p>
    <w:p w14:paraId="7DFC0739">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1.25防火窗是否可以作为排烟窗？</w:t>
      </w:r>
    </w:p>
    <w:p w14:paraId="563E910D">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不可以。</w:t>
      </w:r>
    </w:p>
    <w:p w14:paraId="2B9B2D3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防火窗在火灾时自行关闭，不能作为排烟窗。</w:t>
      </w:r>
    </w:p>
    <w:p w14:paraId="2AA73E55">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1.26电梯厅处的电动推拉门或感应门，火灾时仅断电，手动推拉是否可以？</w:t>
      </w:r>
    </w:p>
    <w:p w14:paraId="5C3E1E4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不可以。</w:t>
      </w:r>
    </w:p>
    <w:p w14:paraId="5B202E8E">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电梯厅处的电动推拉门或感应门，不能作为疏散出口使用。</w:t>
      </w:r>
    </w:p>
    <w:p w14:paraId="3706A8ED">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根据相关规定，电动推拉门或感应门在火灾情况下应能手动/自动开启。</w:t>
      </w:r>
    </w:p>
    <w:p w14:paraId="2FE534B9">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1.27门禁系统的电子控制锁具可以采用电插式吗？</w:t>
      </w:r>
    </w:p>
    <w:p w14:paraId="10BD2DA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不可以。</w:t>
      </w:r>
    </w:p>
    <w:p w14:paraId="1FB5E7A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电插锁虽然可以使门能双向开启，但消防联动时，锁舌可能会因各种原因被卡住，影响人员疏散。</w:t>
      </w:r>
    </w:p>
    <w:p w14:paraId="45B97077">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2319655" cy="1405255"/>
            <wp:effectExtent l="0" t="0" r="12065" b="12065"/>
            <wp:docPr id="145" name="图片 5" descr="D:\Personal\Desktop\1698546725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descr="D:\Personal\Desktop\1698546725638.png"/>
                    <pic:cNvPicPr>
                      <a:picLocks noChangeAspect="1" noChangeArrowheads="1"/>
                    </pic:cNvPicPr>
                  </pic:nvPicPr>
                  <pic:blipFill>
                    <a:blip r:embed="rId19"/>
                    <a:srcRect r="6958"/>
                    <a:stretch>
                      <a:fillRect/>
                    </a:stretch>
                  </pic:blipFill>
                  <pic:spPr>
                    <a:xfrm>
                      <a:off x="0" y="0"/>
                      <a:ext cx="2319655" cy="1405255"/>
                    </a:xfrm>
                    <a:prstGeom prst="rect">
                      <a:avLst/>
                    </a:prstGeom>
                    <a:noFill/>
                    <a:ln w="9525">
                      <a:noFill/>
                      <a:miter lim="800000"/>
                      <a:headEnd/>
                      <a:tailEnd/>
                    </a:ln>
                  </pic:spPr>
                </pic:pic>
              </a:graphicData>
            </a:graphic>
          </wp:inline>
        </w:drawing>
      </w:r>
      <w:r>
        <w:rPr>
          <w:rFonts w:hint="eastAsia"/>
          <w:lang w:val="en-US" w:eastAsia="zh-CN"/>
        </w:rPr>
        <w:t xml:space="preserve">      </w:t>
      </w:r>
      <w:r>
        <w:drawing>
          <wp:inline distT="0" distB="0" distL="0" distR="0">
            <wp:extent cx="1427480" cy="1503045"/>
            <wp:effectExtent l="0" t="0" r="5080" b="5715"/>
            <wp:docPr id="144" name="图片 4" descr="D:\Personal\Desktop\1698545992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descr="D:\Personal\Desktop\1698545992480.png"/>
                    <pic:cNvPicPr>
                      <a:picLocks noChangeAspect="1" noChangeArrowheads="1"/>
                    </pic:cNvPicPr>
                  </pic:nvPicPr>
                  <pic:blipFill>
                    <a:blip r:embed="rId20" cstate="print"/>
                    <a:srcRect/>
                    <a:stretch>
                      <a:fillRect/>
                    </a:stretch>
                  </pic:blipFill>
                  <pic:spPr>
                    <a:xfrm>
                      <a:off x="0" y="0"/>
                      <a:ext cx="1427480" cy="1503045"/>
                    </a:xfrm>
                    <a:prstGeom prst="rect">
                      <a:avLst/>
                    </a:prstGeom>
                    <a:noFill/>
                    <a:ln w="9525">
                      <a:noFill/>
                      <a:miter lim="800000"/>
                      <a:headEnd/>
                      <a:tailEnd/>
                    </a:ln>
                  </pic:spPr>
                </pic:pic>
              </a:graphicData>
            </a:graphic>
          </wp:inline>
        </w:drawing>
      </w:r>
    </w:p>
    <w:p w14:paraId="6FD7C88A">
      <w:pPr>
        <w:pStyle w:val="61"/>
        <w:keepNext w:val="0"/>
        <w:keepLines w:val="0"/>
        <w:pageBreakBefore w:val="0"/>
        <w:widowControl w:val="0"/>
        <w:kinsoku/>
        <w:wordWrap/>
        <w:overflowPunct/>
        <w:topLinePunct w:val="0"/>
        <w:autoSpaceDE/>
        <w:autoSpaceDN/>
        <w:bidi w:val="0"/>
        <w:adjustRightInd/>
        <w:snapToGrid w:val="0"/>
        <w:spacing w:line="240" w:lineRule="auto"/>
        <w:ind w:firstLine="1928" w:firstLineChars="800"/>
        <w:jc w:val="both"/>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图1</w:t>
      </w:r>
      <w:r>
        <w:rPr>
          <w:rFonts w:hint="eastAsia" w:ascii="楷体_GB2312" w:hAnsi="楷体_GB2312" w:eastAsia="楷体_GB2312" w:cs="楷体_GB2312"/>
          <w:b/>
          <w:bCs/>
          <w:sz w:val="24"/>
          <w:szCs w:val="24"/>
          <w:lang w:val="en-US" w:eastAsia="zh-CN"/>
        </w:rPr>
        <w:t xml:space="preserve">.10 </w:t>
      </w:r>
      <w:r>
        <w:rPr>
          <w:rFonts w:hint="eastAsia" w:ascii="楷体_GB2312" w:hAnsi="楷体_GB2312" w:eastAsia="楷体_GB2312" w:cs="楷体_GB2312"/>
          <w:b/>
          <w:bCs/>
          <w:sz w:val="24"/>
          <w:szCs w:val="24"/>
        </w:rPr>
        <w:t>电插锁式门禁</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1.11 </w:t>
      </w:r>
      <w:r>
        <w:rPr>
          <w:rFonts w:hint="eastAsia" w:ascii="楷体_GB2312" w:hAnsi="楷体_GB2312" w:eastAsia="楷体_GB2312" w:cs="楷体_GB2312"/>
          <w:b/>
          <w:bCs/>
          <w:sz w:val="24"/>
          <w:szCs w:val="24"/>
        </w:rPr>
        <w:t>电磁式门禁</w:t>
      </w:r>
    </w:p>
    <w:p w14:paraId="1DD60198">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1.28疏散通道上的防火门，是否需要设置防火门监控系统？</w:t>
      </w:r>
    </w:p>
    <w:p w14:paraId="6C8AAE4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设置有常开式防火门的场所，应设置防火门监控系统，常闭式防火门可不设。</w:t>
      </w:r>
    </w:p>
    <w:p w14:paraId="03546056">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color w:val="FF0000"/>
        </w:rPr>
      </w:pPr>
      <w:r>
        <w:rPr>
          <w:rFonts w:hint="eastAsia"/>
        </w:rPr>
        <w:t>1.29公共建筑内借用疏散的两个防火分区之间的防火门的开向以及门上方安全出口指示标志的设置要求，应怎样规定？</w:t>
      </w:r>
    </w:p>
    <w:p w14:paraId="0DFD6E4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两个区域单向借用疏散的，防火门应向疏散方向开启；相互借用时，按设计文件执行。</w:t>
      </w:r>
    </w:p>
    <w:p w14:paraId="27A008F0">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b w:val="0"/>
          <w:bCs w:val="0"/>
        </w:rPr>
      </w:pPr>
      <w:r>
        <w:rPr>
          <w:rFonts w:hint="eastAsia"/>
          <w:b w:val="0"/>
          <w:bCs w:val="0"/>
        </w:rPr>
        <w:t>被借用防火分区疏散门的门口上方应安装“安全出口/禁止入内”标志灯。借用相邻防火分区疏散，需要改变指示灯状态，被借用防火分区的火灾报警区域信号作为触发信号，方向标志灯改变指示方向，“安全出口”熄灭、“禁止入内”指示点亮，集中控制型根据情况改变方向标志灯的指示方向。</w:t>
      </w:r>
    </w:p>
    <w:p w14:paraId="53B2610C">
      <w:pPr>
        <w:rPr>
          <w:rFonts w:hint="eastAsia"/>
          <w:b w:val="0"/>
          <w:bCs w:val="0"/>
        </w:rPr>
      </w:pPr>
      <w:r>
        <w:rPr>
          <w:rFonts w:hint="eastAsia"/>
          <w:b w:val="0"/>
          <w:bCs w:val="0"/>
        </w:rPr>
        <w:br w:type="page"/>
      </w:r>
    </w:p>
    <w:p w14:paraId="611020DA">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p>
    <w:p w14:paraId="686CA5A9">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bookmarkStart w:id="22" w:name="_Toc159324931"/>
      <w:r>
        <w:rPr>
          <w:rFonts w:hint="eastAsia" w:ascii="黑体" w:hAnsi="黑体" w:eastAsia="黑体" w:cs="黑体"/>
          <w:sz w:val="36"/>
          <w:szCs w:val="36"/>
          <w:lang w:eastAsia="zh-CN"/>
        </w:rPr>
        <w:t>第二部分</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给排水</w:t>
      </w:r>
      <w:bookmarkEnd w:id="22"/>
      <w:r>
        <w:rPr>
          <w:rFonts w:hint="eastAsia" w:ascii="黑体" w:hAnsi="黑体" w:eastAsia="黑体" w:cs="黑体"/>
          <w:sz w:val="36"/>
          <w:szCs w:val="36"/>
        </w:rPr>
        <w:t>专业</w:t>
      </w:r>
    </w:p>
    <w:p w14:paraId="001A10DB">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p>
    <w:p w14:paraId="3A83406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2.1消防管道与市政水的接口尺寸，验收时如何把握？</w:t>
      </w:r>
    </w:p>
    <w:p w14:paraId="620AD9B4">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按照经消防设计审查合格的建设工程消防设计文件执行。</w:t>
      </w:r>
    </w:p>
    <w:p w14:paraId="29C0DF9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2.2济南地区的阀门井内管道是否需要保温？</w:t>
      </w:r>
    </w:p>
    <w:p w14:paraId="4FD3B0AD">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在寒冷、严寒地区，室外阀门井应采取防冻措施。济南属于寒冷地区，原则上阀门井应采取防冻措施。当地下式室外消火栓的取水口在冰冻线（济南地区冰冻线取值0.5m）以上时，也应采取保温防冻措施。</w:t>
      </w:r>
    </w:p>
    <w:p w14:paraId="660CA9E2">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2.3规范仅对墙壁式消防水泵接合器与门窗洞口的距离作出规定，其它型式的消防水泵接合器有具体要求吗？</w:t>
      </w:r>
    </w:p>
    <w:p w14:paraId="65FC068D">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strike/>
          <w:color w:val="FF0000"/>
        </w:rPr>
      </w:pPr>
      <w:r>
        <w:rPr>
          <w:rFonts w:hint="eastAsia"/>
          <w:b w:val="0"/>
          <w:bCs w:val="0"/>
        </w:rPr>
        <w:t>消防水泵接合器周围应设置防止机动车辆撞击的设施。消防水泵接合器两侧沿道路方向各5.0m范围内禁止停放机动车，并应在明显位置设置警示标志。建筑外墙设置有玻璃幕墙或采用火灾时可能脱落的墙体装饰材料或构造时，供灭火救援用的水泵接合器应设置在距离建筑外墙不小于5.0m位置或采取安全防护措施。</w:t>
      </w:r>
    </w:p>
    <w:p w14:paraId="7E9DB56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2.4为配合车位布置，确保车位不影响消火栓箱门的开启角度及方便灭火操作，汽车库内能否采用异型尺寸消防箱？</w:t>
      </w:r>
    </w:p>
    <w:p w14:paraId="288A7DFE">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确有</w:t>
      </w:r>
      <w:r>
        <w:rPr>
          <w:b w:val="0"/>
          <w:bCs w:val="0"/>
        </w:rPr>
        <w:t>困难时，可采用</w:t>
      </w:r>
      <w:r>
        <w:rPr>
          <w:rFonts w:hint="eastAsia"/>
          <w:b w:val="0"/>
          <w:bCs w:val="0"/>
        </w:rPr>
        <w:t>山东土木建筑学会标准《窄型消火栓箱技术标准》图3.3.3窄型消火栓箱构造BZ型或DZ型。</w:t>
      </w:r>
    </w:p>
    <w:p w14:paraId="7D0E6957">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rPr>
          <w:rFonts w:hint="eastAsia"/>
        </w:rPr>
        <w:drawing>
          <wp:inline distT="0" distB="0" distL="114300" distR="114300">
            <wp:extent cx="1677035" cy="2223135"/>
            <wp:effectExtent l="0" t="0" r="0" b="0"/>
            <wp:docPr id="22" name="图片 9" descr="17331119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1733111914987"/>
                    <pic:cNvPicPr>
                      <a:picLocks noChangeAspect="1"/>
                    </pic:cNvPicPr>
                  </pic:nvPicPr>
                  <pic:blipFill>
                    <a:blip r:embed="rId21"/>
                    <a:srcRect l="51886" t="1584" r="11009" b="61977"/>
                    <a:stretch>
                      <a:fillRect/>
                    </a:stretch>
                  </pic:blipFill>
                  <pic:spPr>
                    <a:xfrm>
                      <a:off x="0" y="0"/>
                      <a:ext cx="1684519" cy="2223135"/>
                    </a:xfrm>
                    <a:prstGeom prst="rect">
                      <a:avLst/>
                    </a:prstGeom>
                  </pic:spPr>
                </pic:pic>
              </a:graphicData>
            </a:graphic>
          </wp:inline>
        </w:drawing>
      </w:r>
      <w:r>
        <w:rPr>
          <w:rFonts w:hint="eastAsia"/>
          <w:lang w:val="en-US" w:eastAsia="zh-CN"/>
        </w:rPr>
        <w:t xml:space="preserve">             </w:t>
      </w:r>
      <w:r>
        <w:drawing>
          <wp:inline distT="0" distB="0" distL="0" distR="0">
            <wp:extent cx="1310005" cy="2200275"/>
            <wp:effectExtent l="0" t="0" r="0" b="0"/>
            <wp:docPr id="26" name="图片 5" descr="D:\Personal\Desktop\174056626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D:\Personal\Desktop\1740566268261.jpg"/>
                    <pic:cNvPicPr>
                      <a:picLocks noChangeAspect="1" noChangeArrowheads="1"/>
                    </pic:cNvPicPr>
                  </pic:nvPicPr>
                  <pic:blipFill>
                    <a:blip r:embed="rId22"/>
                    <a:srcRect l="51259" t="39381" r="9572" b="11620"/>
                    <a:stretch>
                      <a:fillRect/>
                    </a:stretch>
                  </pic:blipFill>
                  <pic:spPr>
                    <a:xfrm>
                      <a:off x="0" y="0"/>
                      <a:ext cx="1314861" cy="2200275"/>
                    </a:xfrm>
                    <a:prstGeom prst="rect">
                      <a:avLst/>
                    </a:prstGeom>
                    <a:noFill/>
                    <a:ln w="9525">
                      <a:noFill/>
                      <a:miter lim="800000"/>
                      <a:headEnd/>
                      <a:tailEnd/>
                    </a:ln>
                  </pic:spPr>
                </pic:pic>
              </a:graphicData>
            </a:graphic>
          </wp:inline>
        </w:drawing>
      </w:r>
    </w:p>
    <w:p w14:paraId="6118EBC5">
      <w:pPr>
        <w:pStyle w:val="61"/>
        <w:keepNext w:val="0"/>
        <w:keepLines w:val="0"/>
        <w:pageBreakBefore w:val="0"/>
        <w:widowControl w:val="0"/>
        <w:kinsoku/>
        <w:wordWrap/>
        <w:overflowPunct/>
        <w:topLinePunct w:val="0"/>
        <w:autoSpaceDE/>
        <w:autoSpaceDN/>
        <w:bidi w:val="0"/>
        <w:adjustRightInd/>
        <w:snapToGrid w:val="0"/>
        <w:spacing w:line="240" w:lineRule="auto"/>
        <w:ind w:firstLine="723" w:firstLineChars="300"/>
        <w:jc w:val="both"/>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2.</w:t>
      </w:r>
      <w:r>
        <w:rPr>
          <w:rFonts w:hint="eastAsia" w:ascii="楷体_GB2312" w:hAnsi="楷体_GB2312" w:eastAsia="楷体_GB2312" w:cs="楷体_GB2312"/>
          <w:b/>
          <w:bCs/>
          <w:sz w:val="24"/>
          <w:szCs w:val="24"/>
        </w:rPr>
        <w:t>1</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窄型消火栓箱构造（一）</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2.</w:t>
      </w:r>
      <w:r>
        <w:rPr>
          <w:rFonts w:hint="eastAsia" w:ascii="楷体_GB2312" w:hAnsi="楷体_GB2312" w:eastAsia="楷体_GB2312" w:cs="楷体_GB2312"/>
          <w:b/>
          <w:bCs/>
          <w:sz w:val="24"/>
          <w:szCs w:val="24"/>
        </w:rPr>
        <w:t>2</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窄型消火栓箱构造（二）</w:t>
      </w:r>
    </w:p>
    <w:p w14:paraId="6B83D720">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2.5两格或两座水池的连通管应如何设置？消防设计采用的吸水方式经常不同，请给予统一做法。</w:t>
      </w:r>
    </w:p>
    <w:p w14:paraId="0A56A680">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两格或两座水池的连通管设置，应能保证一格或一座水池出现检修情况时，主泵和备用泵均能同时从消防水池中吸水。应当采用如下连通方式：</w:t>
      </w:r>
    </w:p>
    <w:p w14:paraId="011D6AC9">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rPr>
          <w:rFonts w:hint="eastAsia"/>
        </w:rPr>
        <w:drawing>
          <wp:inline distT="0" distB="0" distL="114300" distR="114300">
            <wp:extent cx="2149475" cy="1569720"/>
            <wp:effectExtent l="0" t="0" r="0" b="0"/>
            <wp:docPr id="4" name="图片 4" descr="ea3ac882a79ba1b9b273518b1c13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3ac882a79ba1b9b273518b1c13dac"/>
                    <pic:cNvPicPr>
                      <a:picLocks noChangeAspect="1"/>
                    </pic:cNvPicPr>
                  </pic:nvPicPr>
                  <pic:blipFill>
                    <a:blip r:embed="rId23"/>
                    <a:srcRect l="6141" r="1474" b="8883"/>
                    <a:stretch>
                      <a:fillRect/>
                    </a:stretch>
                  </pic:blipFill>
                  <pic:spPr>
                    <a:xfrm>
                      <a:off x="0" y="0"/>
                      <a:ext cx="2149475" cy="1569720"/>
                    </a:xfrm>
                    <a:prstGeom prst="rect">
                      <a:avLst/>
                    </a:prstGeom>
                  </pic:spPr>
                </pic:pic>
              </a:graphicData>
            </a:graphic>
          </wp:inline>
        </w:drawing>
      </w:r>
      <w:r>
        <w:drawing>
          <wp:inline distT="0" distB="0" distL="114300" distR="114300">
            <wp:extent cx="2199005" cy="1545590"/>
            <wp:effectExtent l="0" t="0" r="0" b="0"/>
            <wp:docPr id="3" name="图片 3" descr="b16fa9a88ae97f6214342cf72e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16fa9a88ae97f6214342cf72e50854"/>
                    <pic:cNvPicPr>
                      <a:picLocks noChangeAspect="1"/>
                    </pic:cNvPicPr>
                  </pic:nvPicPr>
                  <pic:blipFill>
                    <a:blip r:embed="rId24"/>
                    <a:srcRect l="6255" t="3192" r="779" b="8524"/>
                    <a:stretch>
                      <a:fillRect/>
                    </a:stretch>
                  </pic:blipFill>
                  <pic:spPr>
                    <a:xfrm>
                      <a:off x="0" y="0"/>
                      <a:ext cx="2199005" cy="1545590"/>
                    </a:xfrm>
                    <a:prstGeom prst="rect">
                      <a:avLst/>
                    </a:prstGeom>
                  </pic:spPr>
                </pic:pic>
              </a:graphicData>
            </a:graphic>
          </wp:inline>
        </w:drawing>
      </w:r>
    </w:p>
    <w:p w14:paraId="660584A3">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2.3 </w:t>
      </w:r>
      <w:r>
        <w:rPr>
          <w:rFonts w:hint="eastAsia" w:ascii="楷体_GB2312" w:hAnsi="楷体_GB2312" w:eastAsia="楷体_GB2312" w:cs="楷体_GB2312"/>
          <w:b/>
          <w:bCs/>
          <w:sz w:val="24"/>
          <w:szCs w:val="24"/>
        </w:rPr>
        <w:t>两格水池吸水管布置示意图（一）</w:t>
      </w:r>
    </w:p>
    <w:p w14:paraId="2724BEB7">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4479925" cy="1798320"/>
            <wp:effectExtent l="0" t="0" r="0" b="0"/>
            <wp:docPr id="27" name="图片 6" descr="D:\Personal\My Documents\WeChat Files\wxid_nh5hegdeysbc12\FileStorage\Temp\1740569837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D:\Personal\My Documents\WeChat Files\wxid_nh5hegdeysbc12\FileStorage\Temp\1740569837106.png"/>
                    <pic:cNvPicPr>
                      <a:picLocks noChangeAspect="1" noChangeArrowheads="1"/>
                    </pic:cNvPicPr>
                  </pic:nvPicPr>
                  <pic:blipFill>
                    <a:blip r:embed="rId25"/>
                    <a:srcRect l="1565" r="2409" b="15293"/>
                    <a:stretch>
                      <a:fillRect/>
                    </a:stretch>
                  </pic:blipFill>
                  <pic:spPr>
                    <a:xfrm>
                      <a:off x="0" y="0"/>
                      <a:ext cx="4479925" cy="1798320"/>
                    </a:xfrm>
                    <a:prstGeom prst="rect">
                      <a:avLst/>
                    </a:prstGeom>
                    <a:noFill/>
                    <a:ln w="9525">
                      <a:noFill/>
                      <a:miter lim="800000"/>
                      <a:headEnd/>
                      <a:tailEnd/>
                    </a:ln>
                  </pic:spPr>
                </pic:pic>
              </a:graphicData>
            </a:graphic>
          </wp:inline>
        </w:drawing>
      </w:r>
    </w:p>
    <w:p w14:paraId="71B50495">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lang w:eastAsia="zh-CN"/>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2.4 </w:t>
      </w:r>
      <w:r>
        <w:rPr>
          <w:rFonts w:hint="eastAsia" w:ascii="楷体_GB2312" w:hAnsi="楷体_GB2312" w:eastAsia="楷体_GB2312" w:cs="楷体_GB2312"/>
          <w:b/>
          <w:bCs/>
          <w:sz w:val="24"/>
          <w:szCs w:val="24"/>
        </w:rPr>
        <w:t>两座水池吸水管布置示意图（二）</w:t>
      </w:r>
    </w:p>
    <w:p w14:paraId="0AF4C3A5">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2.6消防泵、自动喷水灭火系统泵吸水管是否必须设置过滤器？</w:t>
      </w:r>
    </w:p>
    <w:p w14:paraId="2CF709B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w:t>
      </w:r>
      <w:r>
        <w:fldChar w:fldCharType="begin"/>
      </w:r>
      <w:r>
        <w:instrText xml:space="preserve"> HYPERLINK "https://www.cabr-fire.com/gf/98/list-98.htm" </w:instrText>
      </w:r>
      <w:r>
        <w:fldChar w:fldCharType="separate"/>
      </w:r>
      <w:r>
        <w:rPr>
          <w:rFonts w:hint="eastAsia"/>
          <w:b w:val="0"/>
          <w:bCs w:val="0"/>
        </w:rPr>
        <w:t>消防给水及消火栓系统技术规范》GB50974-2014</w:t>
      </w:r>
      <w:r>
        <w:rPr>
          <w:rFonts w:hint="eastAsia"/>
          <w:b w:val="0"/>
          <w:bCs w:val="0"/>
        </w:rPr>
        <w:fldChar w:fldCharType="end"/>
      </w:r>
      <w:r>
        <w:rPr>
          <w:rFonts w:hint="eastAsia"/>
          <w:b w:val="0"/>
          <w:bCs w:val="0"/>
        </w:rPr>
        <w:t>第5.1.15条规定：消防水泵吸水管可设置管道过滤器，管道过滤器的过水面积应大于管道过水面积的4倍，且孔径不宜小于3mm。其吸水管并未要求必须设置过滤器。</w:t>
      </w:r>
    </w:p>
    <w:p w14:paraId="4C47D59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自动喷水灭火系统采用天然水源时，消防水泵的吸水口应采取防止杂物堵塞的措施。</w:t>
      </w:r>
    </w:p>
    <w:p w14:paraId="7487657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ascii="微软雅黑" w:hAnsi="微软雅黑" w:cs="微软雅黑"/>
          <w:b w:val="0"/>
          <w:bCs w:val="0"/>
          <w:color w:val="FFFFFF"/>
          <w:spacing w:val="12"/>
          <w:sz w:val="18"/>
          <w:szCs w:val="18"/>
          <w:shd w:val="clear" w:color="auto" w:fill="1B1B1B"/>
        </w:rPr>
      </w:pPr>
      <w:r>
        <w:rPr>
          <w:rFonts w:hint="eastAsia"/>
          <w:b w:val="0"/>
          <w:bCs w:val="0"/>
        </w:rPr>
        <w:t>自动跟踪定位射流灭火系统的消防水泵吸水管上应设置过滤器、真空压力表和控制阀。</w:t>
      </w:r>
    </w:p>
    <w:p w14:paraId="5ED1F56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2.7《自动喷水灭火系统设计规范》GB50084-2017第7.1.13条规定，装设网格、栅板类通透性吊顶的场所，当通透面积占吊顶总面积的比例大于70％时，喷头应设置在吊顶上方。对于通透面积占吊顶总面积的比例不大于70％时，应当如何设置？</w:t>
      </w:r>
    </w:p>
    <w:p w14:paraId="7C03D799">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当通透面积占吊顶总面积的比例大于70％时，喷头应设置在吊顶上方；当通透面积占吊顶总面积的比例</w:t>
      </w:r>
      <w:r>
        <w:rPr>
          <w:rFonts w:hint="eastAsia"/>
          <w:b w:val="0"/>
          <w:bCs w:val="0"/>
        </w:rPr>
        <w:t>小于70％时，喷头在吊顶上方和下方分别设置，设置在镂空吊顶下方的喷头上方应设面积不小于0.12m</w:t>
      </w:r>
      <w:r>
        <w:rPr>
          <w:rFonts w:hint="eastAsia"/>
          <w:b w:val="0"/>
          <w:bCs w:val="0"/>
          <w:vertAlign w:val="superscript"/>
        </w:rPr>
        <w:t>2</w:t>
      </w:r>
      <w:r>
        <w:rPr>
          <w:rFonts w:hint="eastAsia"/>
          <w:b w:val="0"/>
          <w:bCs w:val="0"/>
        </w:rPr>
        <w:t>的挡水板。</w:t>
      </w:r>
    </w:p>
    <w:p w14:paraId="44E61C67">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2.8大型商业建筑的中庭处自动跟踪定位射流系统手动控制箱是否必须安装在最底层？</w:t>
      </w:r>
    </w:p>
    <w:p w14:paraId="707651BE">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《自动跟踪定位射流灭火系统技术标准》GB51427-2021第4.3.8条规定，手动控制箱应设置在保护区域的最底层，并宜设置在直通室外的楼层且宜靠近安全出口处，应便于现场手动操作，并能观察到灭火装置。</w:t>
      </w:r>
    </w:p>
    <w:p w14:paraId="7026265F">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2.9《自动喷水灭火系统设计规范》GB50084-2017规定，超出水泵结合器供水高度的楼层宜采用快速响应洒水喷头，供水高度如何界定？</w:t>
      </w:r>
    </w:p>
    <w:p w14:paraId="782EE098">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按室内楼地面距室外地坪100m高度界定。</w:t>
      </w:r>
    </w:p>
    <w:p w14:paraId="7462CA17">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2.10医院的手术室等洁净部位，不宜布置洒水喷头。应采用什么类型的灭火方式？</w:t>
      </w:r>
    </w:p>
    <w:p w14:paraId="0516E2C1">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color w:val="000000" w:themeColor="text1"/>
          <w:highlight w:val="yellow"/>
          <w14:textFill>
            <w14:solidFill>
              <w14:schemeClr w14:val="tx1"/>
            </w14:solidFill>
          </w14:textFill>
        </w:rPr>
      </w:pPr>
      <w:r>
        <w:rPr>
          <w:rFonts w:hint="eastAsia"/>
          <w:b w:val="0"/>
          <w:bCs w:val="0"/>
          <w:color w:val="000000" w:themeColor="text1"/>
          <w14:textFill>
            <w14:solidFill>
              <w14:schemeClr w14:val="tx1"/>
            </w14:solidFill>
          </w14:textFill>
        </w:rPr>
        <w:t>当洁净手术部按照消防技术标准需设置消火栓系统时，</w:t>
      </w:r>
      <w:r>
        <w:rPr>
          <w:rFonts w:hint="eastAsia"/>
          <w:b w:val="0"/>
          <w:bCs w:val="0"/>
        </w:rPr>
        <w:t>应在洁净手术室室外设置，应能保证2支水枪的充实水柱同时到达手术室内的任何部位。当洁净手术部按照消防技术标准未设置室内消火栓时，应在洁净手术室室外设置消防软管卷盘等灭火设施。洁净手术部应按现行国家标准《建筑灭火器配置设计规范》GB50140-2005的相关规定配置灭火器。</w:t>
      </w:r>
    </w:p>
    <w:p w14:paraId="0CC8926F">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2.11民用建筑中流量开关启泵的设定流量是多少？流量开关应安装在什么位置？</w:t>
      </w:r>
    </w:p>
    <w:p w14:paraId="52FB8C71">
      <w:pPr>
        <w:pStyle w:val="61"/>
        <w:keepNext w:val="0"/>
        <w:keepLines w:val="0"/>
        <w:pageBreakBefore w:val="0"/>
        <w:numPr>
          <w:ilvl w:val="0"/>
          <w:numId w:val="0"/>
        </w:numPr>
        <w:kinsoku/>
        <w:wordWrap/>
        <w:topLinePunct w:val="0"/>
        <w:autoSpaceDE/>
        <w:autoSpaceDN/>
        <w:bidi w:val="0"/>
        <w:adjustRightInd/>
        <w:snapToGrid w:val="0"/>
        <w:spacing w:line="560" w:lineRule="exact"/>
        <w:ind w:firstLine="640" w:firstLineChars="200"/>
        <w:textAlignment w:val="auto"/>
      </w:pPr>
      <w:r>
        <w:rPr>
          <w:rFonts w:hint="eastAsia"/>
          <w:b w:val="0"/>
          <w:bCs w:val="0"/>
          <w:lang w:val="en-US" w:eastAsia="zh-CN"/>
        </w:rPr>
        <w:t>1.</w:t>
      </w:r>
      <w:r>
        <w:rPr>
          <w:rFonts w:hint="eastAsia"/>
          <w:b w:val="0"/>
          <w:bCs w:val="0"/>
        </w:rPr>
        <w:t>正常情况下，自动喷水灭火系统系统流量开关的启泵设定值推荐为（1.5～2.0）L/s，消火栓系统流量开关的启泵设定值推荐为3.0L/s。</w:t>
      </w:r>
    </w:p>
    <w:p w14:paraId="5425FD08">
      <w:pPr>
        <w:pStyle w:val="61"/>
        <w:keepNext w:val="0"/>
        <w:keepLines w:val="0"/>
        <w:pageBreakBefore w:val="0"/>
        <w:numPr>
          <w:ilvl w:val="0"/>
          <w:numId w:val="0"/>
        </w:numPr>
        <w:kinsoku/>
        <w:wordWrap/>
        <w:topLinePunct w:val="0"/>
        <w:autoSpaceDE/>
        <w:autoSpaceDN/>
        <w:bidi w:val="0"/>
        <w:adjustRightInd/>
        <w:snapToGrid w:val="0"/>
        <w:spacing w:line="560" w:lineRule="exact"/>
        <w:ind w:firstLine="640" w:firstLineChars="200"/>
        <w:textAlignment w:val="auto"/>
        <w:rPr>
          <w:rFonts w:hint="eastAsia"/>
        </w:rPr>
      </w:pPr>
      <w:r>
        <w:rPr>
          <w:rFonts w:hint="eastAsia"/>
          <w:b w:val="0"/>
          <w:bCs w:val="0"/>
          <w:lang w:val="en-US" w:eastAsia="zh-CN"/>
        </w:rPr>
        <w:t>2.</w:t>
      </w:r>
      <w:r>
        <w:rPr>
          <w:rFonts w:hint="eastAsia"/>
          <w:b w:val="0"/>
          <w:bCs w:val="0"/>
        </w:rPr>
        <w:t>高位消防水箱稳压时，流量开关应设置在高位消防水箱的出水管上；当设置稳压装置时，流量开关应设置在高位水箱出水管与稳压装置出水管的汇流管上</w:t>
      </w:r>
      <w:r>
        <w:rPr>
          <w:rFonts w:hint="eastAsia"/>
        </w:rPr>
        <w:t>。</w:t>
      </w:r>
      <w:bookmarkStart w:id="23" w:name="_Toc159324932"/>
    </w:p>
    <w:p w14:paraId="7DB749DF">
      <w:pPr>
        <w:rPr>
          <w:rFonts w:hint="eastAsia"/>
        </w:rPr>
      </w:pPr>
      <w:r>
        <w:rPr>
          <w:rFonts w:hint="eastAsia"/>
        </w:rPr>
        <w:br w:type="page"/>
      </w:r>
    </w:p>
    <w:p w14:paraId="0F4E2F21">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p>
    <w:p w14:paraId="2C394359">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r>
        <w:rPr>
          <w:rFonts w:hint="eastAsia" w:ascii="黑体" w:hAnsi="黑体" w:eastAsia="黑体" w:cs="黑体"/>
          <w:sz w:val="36"/>
          <w:szCs w:val="36"/>
        </w:rPr>
        <w:t>第三部分</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暖通</w:t>
      </w:r>
      <w:bookmarkEnd w:id="23"/>
      <w:r>
        <w:rPr>
          <w:rFonts w:hint="eastAsia" w:ascii="黑体" w:hAnsi="黑体" w:eastAsia="黑体" w:cs="黑体"/>
          <w:sz w:val="36"/>
          <w:szCs w:val="36"/>
        </w:rPr>
        <w:t>专业</w:t>
      </w:r>
    </w:p>
    <w:p w14:paraId="3F1EF18B">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p>
    <w:p w14:paraId="7B323E10">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3.1机械加压送风系统风机室外入口处是否必须设置“电动风阀”？</w:t>
      </w:r>
    </w:p>
    <w:p w14:paraId="7452C82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采用常开送风口的防烟（封闭）楼梯间所设置的机械加压送风系统需要设置电动风阀；对于采用常闭送风口的可不设。</w:t>
      </w:r>
    </w:p>
    <w:p w14:paraId="734617E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多台正压送风机共用一个井道时，每台正压送风机入口处均应设置止回阀。</w:t>
      </w:r>
    </w:p>
    <w:p w14:paraId="3C68C28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eastAsia="仿宋_GB2312"/>
          <w:lang w:eastAsia="zh-CN"/>
        </w:rPr>
      </w:pPr>
      <w:r>
        <w:rPr>
          <w:rFonts w:hint="eastAsia"/>
          <w:b w:val="0"/>
          <w:bCs w:val="0"/>
        </w:rPr>
        <w:t>当正压送风机前端设有电动风阀时，平时常闭，火灾发生时，应与正压送风机同时连锁打开</w:t>
      </w:r>
      <w:r>
        <w:rPr>
          <w:rFonts w:hint="eastAsia"/>
        </w:rPr>
        <w:t>。</w:t>
      </w:r>
    </w:p>
    <w:p w14:paraId="3D68B52D">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2835275" cy="2879725"/>
            <wp:effectExtent l="0" t="0" r="3175" b="15875"/>
            <wp:docPr id="31" name="图片 10" descr="D:\Personal\My Documents\WeChat Files\wxid_nh5hegdeysbc12\FileStorage\Temp\17405732513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D:\Personal\My Documents\WeChat Files\wxid_nh5hegdeysbc12\FileStorage\Temp\1740573251347(1).png"/>
                    <pic:cNvPicPr>
                      <a:picLocks noChangeAspect="1" noChangeArrowheads="1"/>
                    </pic:cNvPicPr>
                  </pic:nvPicPr>
                  <pic:blipFill>
                    <a:blip r:embed="rId26"/>
                    <a:srcRect l="3398" t="3496" r="2196" b="6302"/>
                    <a:stretch>
                      <a:fillRect/>
                    </a:stretch>
                  </pic:blipFill>
                  <pic:spPr>
                    <a:xfrm>
                      <a:off x="0" y="0"/>
                      <a:ext cx="2835275" cy="2879725"/>
                    </a:xfrm>
                    <a:prstGeom prst="rect">
                      <a:avLst/>
                    </a:prstGeom>
                    <a:noFill/>
                    <a:ln w="9525">
                      <a:noFill/>
                      <a:miter lim="800000"/>
                      <a:headEnd/>
                      <a:tailEnd/>
                    </a:ln>
                  </pic:spPr>
                </pic:pic>
              </a:graphicData>
            </a:graphic>
          </wp:inline>
        </w:drawing>
      </w:r>
    </w:p>
    <w:p w14:paraId="2BC4EC01">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3.</w:t>
      </w:r>
      <w:r>
        <w:rPr>
          <w:rFonts w:hint="eastAsia" w:ascii="楷体_GB2312" w:hAnsi="楷体_GB2312" w:eastAsia="楷体_GB2312" w:cs="楷体_GB2312"/>
          <w:b/>
          <w:bCs/>
          <w:sz w:val="24"/>
          <w:szCs w:val="24"/>
        </w:rPr>
        <w:t>1</w:t>
      </w:r>
      <w:r>
        <w:rPr>
          <w:rFonts w:hint="eastAsia" w:ascii="楷体_GB2312" w:hAnsi="楷体_GB2312" w:eastAsia="楷体_GB2312" w:cs="楷体_GB2312"/>
          <w:b/>
          <w:bCs/>
          <w:sz w:val="24"/>
          <w:szCs w:val="24"/>
          <w:lang w:val="en-US" w:eastAsia="zh-CN"/>
        </w:rPr>
        <w:t xml:space="preserve"> </w:t>
      </w:r>
      <w:r>
        <w:rPr>
          <w:rFonts w:hint="eastAsia" w:ascii="楷体_GB2312" w:hAnsi="楷体_GB2312" w:eastAsia="楷体_GB2312" w:cs="楷体_GB2312"/>
          <w:b/>
          <w:bCs/>
          <w:sz w:val="24"/>
          <w:szCs w:val="24"/>
        </w:rPr>
        <w:t>楼梯间机械加压送风系统入口处设置电动风阀（一）</w:t>
      </w:r>
    </w:p>
    <w:p w14:paraId="1221B324">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3.2建筑高度小于100m的建筑，其机械加压送风系统地上加地下服务区段高度大于100m；建筑高度小于50m的公共建筑，其机械排烟系统地上加地下服务区段高度大于50m。对机械加送风系统和</w:t>
      </w:r>
      <w:r>
        <w:t>机械排烟系统</w:t>
      </w:r>
      <w:r>
        <w:rPr>
          <w:rFonts w:hint="eastAsia"/>
        </w:rPr>
        <w:t>的设置</w:t>
      </w:r>
      <w:r>
        <w:t>应</w:t>
      </w:r>
      <w:r>
        <w:rPr>
          <w:rFonts w:hint="eastAsia"/>
        </w:rPr>
        <w:t>如何把握？</w:t>
      </w:r>
    </w:p>
    <w:p w14:paraId="6510335D">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highlight w:val="yellow"/>
        </w:rPr>
      </w:pPr>
      <w:r>
        <w:rPr>
          <w:rFonts w:hint="eastAsia"/>
          <w:b w:val="0"/>
          <w:bCs w:val="0"/>
        </w:rPr>
        <w:t>《消防设施通用规范》</w:t>
      </w:r>
      <w:r>
        <w:rPr>
          <w:b w:val="0"/>
          <w:bCs w:val="0"/>
        </w:rPr>
        <w:t>GB55036-2022</w:t>
      </w:r>
      <w:r>
        <w:rPr>
          <w:rFonts w:hint="eastAsia"/>
          <w:b w:val="0"/>
          <w:bCs w:val="0"/>
        </w:rPr>
        <w:t>的第11.2.2条和第</w:t>
      </w:r>
      <w:r>
        <w:rPr>
          <w:b w:val="0"/>
          <w:bCs w:val="0"/>
        </w:rPr>
        <w:t>11.3.3</w:t>
      </w:r>
      <w:r>
        <w:rPr>
          <w:rFonts w:hint="eastAsia"/>
          <w:b w:val="0"/>
          <w:bCs w:val="0"/>
        </w:rPr>
        <w:t>条中，分别对机械加压送风系统和机械排烟系统的设置原则进行了明确规定，机械</w:t>
      </w:r>
      <w:r>
        <w:rPr>
          <w:b w:val="0"/>
          <w:bCs w:val="0"/>
        </w:rPr>
        <w:t>加压送风系统竖向分段独立设置的每段</w:t>
      </w:r>
      <w:r>
        <w:rPr>
          <w:rFonts w:hint="eastAsia"/>
          <w:b w:val="0"/>
          <w:bCs w:val="0"/>
        </w:rPr>
        <w:t>服务高度</w:t>
      </w:r>
      <w:r>
        <w:rPr>
          <w:b w:val="0"/>
          <w:bCs w:val="0"/>
        </w:rPr>
        <w:t>不应大于</w:t>
      </w:r>
      <w:r>
        <w:rPr>
          <w:rFonts w:hint="eastAsia"/>
          <w:b w:val="0"/>
          <w:bCs w:val="0"/>
        </w:rPr>
        <w:t>100</w:t>
      </w:r>
      <w:r>
        <w:rPr>
          <w:b w:val="0"/>
          <w:bCs w:val="0"/>
        </w:rPr>
        <w:t>m</w:t>
      </w:r>
      <w:r>
        <w:rPr>
          <w:rFonts w:hint="eastAsia"/>
          <w:b w:val="0"/>
          <w:bCs w:val="0"/>
        </w:rPr>
        <w:t>；公共建筑</w:t>
      </w:r>
      <w:r>
        <w:rPr>
          <w:b w:val="0"/>
          <w:bCs w:val="0"/>
        </w:rPr>
        <w:t>和工业建筑中机械排烟系统竖向分段独立设置的</w:t>
      </w:r>
      <w:r>
        <w:rPr>
          <w:rFonts w:hint="eastAsia"/>
          <w:b w:val="0"/>
          <w:bCs w:val="0"/>
        </w:rPr>
        <w:t>每段服务高度应</w:t>
      </w:r>
      <w:r>
        <w:rPr>
          <w:b w:val="0"/>
          <w:bCs w:val="0"/>
        </w:rPr>
        <w:t>小于</w:t>
      </w:r>
      <w:r>
        <w:rPr>
          <w:rFonts w:hint="eastAsia"/>
          <w:b w:val="0"/>
          <w:bCs w:val="0"/>
        </w:rPr>
        <w:t>或等50m。应注意的是，竖向分段独立设置的高度均指系统服务区段高度，即从服务对象的最下层地面至最上层顶板的高度，不含出屋面楼梯间的高度，竖向分段应结合设备层科学布置。</w:t>
      </w:r>
    </w:p>
    <w:p w14:paraId="2D7B321F">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据此，对于建筑高度小于100m的建筑，当地上加地下服务区段高度</w:t>
      </w:r>
      <w:r>
        <w:rPr>
          <w:rFonts w:hint="eastAsia"/>
          <w:b w:val="0"/>
          <w:bCs w:val="0"/>
          <w:color w:val="000000" w:themeColor="text1"/>
          <w14:textFill>
            <w14:solidFill>
              <w14:schemeClr w14:val="tx1"/>
            </w14:solidFill>
          </w14:textFill>
        </w:rPr>
        <w:t>大</w:t>
      </w:r>
      <w:r>
        <w:rPr>
          <w:rFonts w:hint="eastAsia"/>
          <w:b w:val="0"/>
          <w:bCs w:val="0"/>
        </w:rPr>
        <w:t>于100m时，其机械加压送风系统也应分段独立设置；对于建筑高度小于50m的公共建筑，当地上加地下服务区段高度大于50m时，地上和地下应分段独立设置机械排烟系统。</w:t>
      </w:r>
    </w:p>
    <w:p w14:paraId="2DD17F64">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1912620" cy="2879725"/>
            <wp:effectExtent l="0" t="0" r="11430" b="15875"/>
            <wp:docPr id="30" name="图片 8" descr="D:\Personal\Desktop\174057288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Personal\Desktop\1740572883828.png"/>
                    <pic:cNvPicPr>
                      <a:picLocks noChangeAspect="1" noChangeArrowheads="1"/>
                    </pic:cNvPicPr>
                  </pic:nvPicPr>
                  <pic:blipFill>
                    <a:blip r:embed="rId27"/>
                    <a:srcRect/>
                    <a:stretch>
                      <a:fillRect/>
                    </a:stretch>
                  </pic:blipFill>
                  <pic:spPr>
                    <a:xfrm>
                      <a:off x="0" y="0"/>
                      <a:ext cx="1912620" cy="2879725"/>
                    </a:xfrm>
                    <a:prstGeom prst="rect">
                      <a:avLst/>
                    </a:prstGeom>
                    <a:noFill/>
                    <a:ln w="9525">
                      <a:noFill/>
                      <a:miter lim="800000"/>
                      <a:headEnd/>
                      <a:tailEnd/>
                    </a:ln>
                  </pic:spPr>
                </pic:pic>
              </a:graphicData>
            </a:graphic>
          </wp:inline>
        </w:drawing>
      </w:r>
    </w:p>
    <w:p w14:paraId="726B0490">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3.2 </w:t>
      </w:r>
      <w:r>
        <w:rPr>
          <w:rFonts w:hint="eastAsia" w:ascii="楷体_GB2312" w:hAnsi="楷体_GB2312" w:eastAsia="楷体_GB2312" w:cs="楷体_GB2312"/>
          <w:b/>
          <w:bCs/>
          <w:sz w:val="24"/>
          <w:szCs w:val="24"/>
        </w:rPr>
        <w:t>机械加压送风系统也应分段独立设置（一）</w:t>
      </w:r>
    </w:p>
    <w:p w14:paraId="05F864DF">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3.3同一个防烟分区存在不同的空间高度时，挡烟设施和排烟口应如何设置？</w:t>
      </w:r>
    </w:p>
    <w:p w14:paraId="72CB0691">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b w:val="0"/>
          <w:bCs w:val="0"/>
        </w:rPr>
        <w:t>1.</w:t>
      </w:r>
      <w:r>
        <w:rPr>
          <w:rFonts w:hint="eastAsia"/>
          <w:b w:val="0"/>
          <w:bCs w:val="0"/>
        </w:rPr>
        <w:t>当采用自然排烟方式时，储烟仓的厚度不应小于空间净高的</w:t>
      </w:r>
      <w:r>
        <w:rPr>
          <w:b w:val="0"/>
          <w:bCs w:val="0"/>
        </w:rPr>
        <w:t>20%</w:t>
      </w:r>
      <w:r>
        <w:rPr>
          <w:rFonts w:hint="eastAsia"/>
          <w:b w:val="0"/>
          <w:bCs w:val="0"/>
        </w:rPr>
        <w:t>，且不应小于</w:t>
      </w:r>
      <w:r>
        <w:rPr>
          <w:b w:val="0"/>
          <w:bCs w:val="0"/>
        </w:rPr>
        <w:t>500mm</w:t>
      </w:r>
      <w:r>
        <w:rPr>
          <w:rFonts w:hint="eastAsia"/>
          <w:b w:val="0"/>
          <w:bCs w:val="0"/>
        </w:rPr>
        <w:t>；当采用机械排烟方式时，不应小于空间净高的</w:t>
      </w:r>
      <w:r>
        <w:rPr>
          <w:b w:val="0"/>
          <w:bCs w:val="0"/>
        </w:rPr>
        <w:t>10%</w:t>
      </w:r>
      <w:r>
        <w:rPr>
          <w:rFonts w:hint="eastAsia"/>
          <w:b w:val="0"/>
          <w:bCs w:val="0"/>
        </w:rPr>
        <w:t>，且不应小于</w:t>
      </w:r>
      <w:r>
        <w:rPr>
          <w:b w:val="0"/>
          <w:bCs w:val="0"/>
        </w:rPr>
        <w:t>500mm</w:t>
      </w:r>
      <w:r>
        <w:rPr>
          <w:rFonts w:hint="eastAsia"/>
          <w:b w:val="0"/>
          <w:bCs w:val="0"/>
        </w:rPr>
        <w:t>。同时储烟仓底部距地面的高度应大于安全疏散所需的最小清晰高度，最小清晰高度应按第</w:t>
      </w:r>
      <w:r>
        <w:rPr>
          <w:b w:val="0"/>
          <w:bCs w:val="0"/>
        </w:rPr>
        <w:t>3</w:t>
      </w:r>
      <w:r>
        <w:rPr>
          <w:rFonts w:hint="eastAsia"/>
          <w:b w:val="0"/>
          <w:bCs w:val="0"/>
        </w:rPr>
        <w:t>款的规定计算确定。</w:t>
      </w:r>
    </w:p>
    <w:p w14:paraId="00B4AC4F">
      <w:pPr>
        <w:keepNext w:val="0"/>
        <w:keepLines w:val="0"/>
        <w:pageBreakBefore w:val="0"/>
        <w:widowControl/>
        <w:kinsoku/>
        <w:wordWrap/>
        <w:topLinePunct w:val="0"/>
        <w:autoSpaceDE/>
        <w:autoSpaceDN/>
        <w:bidi w:val="0"/>
        <w:adjustRightInd/>
        <w:snapToGrid w:val="0"/>
        <w:spacing w:line="560" w:lineRule="exact"/>
        <w:ind w:left="0" w:leftChars="0" w:firstLine="640" w:firstLineChars="200"/>
        <w:jc w:val="left"/>
        <w:textAlignment w:val="auto"/>
      </w:pPr>
      <w:r>
        <w:rPr>
          <w:rFonts w:hint="eastAsia" w:ascii="仿宋" w:hAnsi="仿宋" w:eastAsia="仿宋" w:cs="仿宋"/>
          <w:b w:val="0"/>
          <w:color w:val="000000" w:themeColor="text1"/>
          <w:sz w:val="32"/>
          <w:szCs w:val="32"/>
          <w:u w:val="none"/>
          <w14:textFill>
            <w14:solidFill>
              <w14:schemeClr w14:val="tx1"/>
            </w14:solidFill>
          </w14:textFill>
        </w:rPr>
        <w:t>2.当储烟仓的烟层与周围空气温差小于15℃时，应通过降低排烟口的位置等措施重新调整排烟设计。</w:t>
      </w:r>
      <w:r>
        <w:rPr>
          <w:rFonts w:hint="eastAsia" w:ascii="微软雅黑" w:hAnsi="微软雅黑" w:eastAsia="微软雅黑" w:cs="微软雅黑"/>
          <w:spacing w:val="12"/>
          <w:kern w:val="0"/>
          <w:sz w:val="18"/>
          <w:szCs w:val="18"/>
          <w:shd w:val="clear" w:color="auto" w:fill="1B1B1B"/>
        </w:rPr>
        <w:br w:type="textWrapping"/>
      </w:r>
      <w:r>
        <w:rPr>
          <w:rFonts w:hint="eastAsia" w:ascii="仿宋" w:hAnsi="仿宋" w:eastAsia="仿宋" w:cs="仿宋"/>
          <w:b w:val="0"/>
          <w:color w:val="000000" w:themeColor="text1"/>
          <w:sz w:val="32"/>
          <w:szCs w:val="32"/>
          <w:u w:val="none"/>
          <w:lang w:val="en-US" w:eastAsia="zh-CN"/>
          <w14:textFill>
            <w14:solidFill>
              <w14:schemeClr w14:val="tx1"/>
            </w14:solidFill>
          </w14:textFill>
        </w:rPr>
        <w:t xml:space="preserve">    </w:t>
      </w:r>
      <w:r>
        <w:rPr>
          <w:rFonts w:hint="eastAsia" w:ascii="仿宋" w:hAnsi="仿宋" w:eastAsia="仿宋" w:cs="仿宋"/>
          <w:b w:val="0"/>
          <w:color w:val="000000" w:themeColor="text1"/>
          <w:sz w:val="32"/>
          <w:szCs w:val="32"/>
          <w:u w:val="none"/>
          <w14:textFill>
            <w14:solidFill>
              <w14:schemeClr w14:val="tx1"/>
            </w14:solidFill>
          </w14:textFill>
        </w:rPr>
        <w:t>3.走道、室内空间净高不大于3m的区域，其最小清晰高度不宜小于其净高的1/2，其他区域的最小清晰高度应按下式计算：</w:t>
      </w:r>
    </w:p>
    <w:p w14:paraId="4E896F6F">
      <w:pPr>
        <w:keepNext w:val="0"/>
        <w:keepLines w:val="0"/>
        <w:pageBreakBefore w:val="0"/>
        <w:widowControl/>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1）</w:t>
      </w:r>
      <w:r>
        <w:rPr>
          <w:rFonts w:hint="eastAsia" w:ascii="仿宋" w:hAnsi="仿宋" w:eastAsia="仿宋" w:cs="仿宋"/>
          <w:b w:val="0"/>
          <w:color w:val="000000" w:themeColor="text1"/>
          <w:sz w:val="32"/>
          <w:szCs w:val="32"/>
          <w:u w:val="none"/>
          <w14:textFill>
            <w14:solidFill>
              <w14:schemeClr w14:val="tx1"/>
            </w14:solidFill>
          </w14:textFill>
        </w:rPr>
        <w:tab/>
      </w:r>
      <w:r>
        <w:rPr>
          <w:rFonts w:hint="eastAsia" w:ascii="仿宋" w:hAnsi="仿宋" w:eastAsia="仿宋" w:cs="仿宋"/>
          <w:b w:val="0"/>
          <w:color w:val="000000" w:themeColor="text1"/>
          <w:sz w:val="32"/>
          <w:szCs w:val="32"/>
          <w:u w:val="none"/>
          <w14:textFill>
            <w14:solidFill>
              <w14:schemeClr w14:val="tx1"/>
            </w14:solidFill>
          </w14:textFill>
        </w:rPr>
        <w:t>对于单层空间，最小清晰高度应该下式计算：</w:t>
      </w:r>
    </w:p>
    <w:p w14:paraId="0C134991">
      <w:pPr>
        <w:keepNext w:val="0"/>
        <w:keepLines w:val="0"/>
        <w:pageBreakBefore w:val="0"/>
        <w:widowControl/>
        <w:kinsoku/>
        <w:wordWrap/>
        <w:topLinePunct w:val="0"/>
        <w:autoSpaceDE/>
        <w:autoSpaceDN/>
        <w:bidi w:val="0"/>
        <w:adjustRightInd/>
        <w:snapToGrid w:val="0"/>
        <w:spacing w:line="560" w:lineRule="exact"/>
        <w:jc w:val="center"/>
        <w:textAlignment w:val="auto"/>
        <w:rPr>
          <w:rFonts w:hint="eastAsia" w:ascii="仿宋" w:hAnsi="仿宋" w:eastAsia="仿宋" w:cs="仿宋"/>
          <w:b w:val="0"/>
          <w:color w:val="000000" w:themeColor="text1"/>
          <w:sz w:val="32"/>
          <w:szCs w:val="32"/>
          <w:highlight w:val="yellow"/>
          <w:u w:val="none"/>
          <w14:textFill>
            <w14:solidFill>
              <w14:schemeClr w14:val="tx1"/>
            </w14:solidFill>
          </w14:textFill>
        </w:rPr>
      </w:pPr>
      <w:r>
        <w:rPr>
          <w:rFonts w:ascii="仿宋" w:hAnsi="仿宋" w:eastAsia="仿宋" w:cs="仿宋"/>
          <w:b w:val="0"/>
          <w:color w:val="000000" w:themeColor="text1"/>
          <w:sz w:val="32"/>
          <w:szCs w:val="32"/>
          <w:u w:val="none"/>
          <w14:textFill>
            <w14:solidFill>
              <w14:schemeClr w14:val="tx1"/>
            </w14:solidFill>
          </w14:textFill>
        </w:rPr>
        <w:t>H</w:t>
      </w:r>
      <w:r>
        <w:rPr>
          <w:rFonts w:ascii="仿宋" w:hAnsi="仿宋" w:eastAsia="仿宋" w:cs="仿宋"/>
          <w:b w:val="0"/>
          <w:color w:val="000000" w:themeColor="text1"/>
          <w:sz w:val="32"/>
          <w:szCs w:val="32"/>
          <w:u w:val="none"/>
          <w:vertAlign w:val="subscript"/>
          <w14:textFill>
            <w14:solidFill>
              <w14:schemeClr w14:val="tx1"/>
            </w14:solidFill>
          </w14:textFill>
        </w:rPr>
        <w:t>q</w:t>
      </w:r>
      <w:r>
        <w:rPr>
          <w:rFonts w:ascii="仿宋" w:hAnsi="仿宋" w:eastAsia="仿宋" w:cs="仿宋"/>
          <w:b w:val="0"/>
          <w:color w:val="000000" w:themeColor="text1"/>
          <w:sz w:val="32"/>
          <w:szCs w:val="32"/>
          <w:u w:val="none"/>
          <w14:textFill>
            <w14:solidFill>
              <w14:schemeClr w14:val="tx1"/>
            </w14:solidFill>
          </w14:textFill>
        </w:rPr>
        <w:t>=1.6+0.1H</w:t>
      </w:r>
    </w:p>
    <w:p w14:paraId="2D5CF210">
      <w:pPr>
        <w:keepNext w:val="0"/>
        <w:keepLines w:val="0"/>
        <w:pageBreakBefore w:val="0"/>
        <w:widowControl/>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ascii="仿宋" w:hAnsi="仿宋" w:eastAsia="仿宋" w:cs="仿宋"/>
          <w:b w:val="0"/>
          <w:color w:val="000000" w:themeColor="text1"/>
          <w:sz w:val="32"/>
          <w:szCs w:val="32"/>
          <w:u w:val="none"/>
          <w14:textFill>
            <w14:solidFill>
              <w14:schemeClr w14:val="tx1"/>
            </w14:solidFill>
          </w14:textFill>
        </w:rPr>
        <w:t>2</w:t>
      </w:r>
      <w:r>
        <w:rPr>
          <w:rFonts w:hint="eastAsia" w:ascii="仿宋" w:hAnsi="仿宋" w:eastAsia="仿宋" w:cs="仿宋"/>
          <w:b w:val="0"/>
          <w:color w:val="000000" w:themeColor="text1"/>
          <w:sz w:val="32"/>
          <w:szCs w:val="32"/>
          <w:u w:val="none"/>
          <w14:textFill>
            <w14:solidFill>
              <w14:schemeClr w14:val="tx1"/>
            </w14:solidFill>
          </w14:textFill>
        </w:rPr>
        <w:t>）对于多层连通空间，最小清晰高度应该下式计算：</w:t>
      </w:r>
    </w:p>
    <w:p w14:paraId="6752393C">
      <w:pPr>
        <w:keepNext w:val="0"/>
        <w:keepLines w:val="0"/>
        <w:pageBreakBefore w:val="0"/>
        <w:widowControl/>
        <w:kinsoku/>
        <w:wordWrap/>
        <w:topLinePunct w:val="0"/>
        <w:autoSpaceDE/>
        <w:autoSpaceDN/>
        <w:bidi w:val="0"/>
        <w:adjustRightInd/>
        <w:snapToGrid w:val="0"/>
        <w:spacing w:line="560" w:lineRule="exact"/>
        <w:jc w:val="center"/>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ascii="仿宋" w:hAnsi="仿宋" w:eastAsia="仿宋" w:cs="仿宋"/>
          <w:b w:val="0"/>
          <w:color w:val="000000" w:themeColor="text1"/>
          <w:sz w:val="32"/>
          <w:szCs w:val="32"/>
          <w:u w:val="none"/>
          <w14:textFill>
            <w14:solidFill>
              <w14:schemeClr w14:val="tx1"/>
            </w14:solidFill>
          </w14:textFill>
        </w:rPr>
        <w:t>H</w:t>
      </w:r>
      <w:r>
        <w:rPr>
          <w:rFonts w:ascii="仿宋" w:hAnsi="仿宋" w:eastAsia="仿宋" w:cs="仿宋"/>
          <w:b w:val="0"/>
          <w:color w:val="000000" w:themeColor="text1"/>
          <w:sz w:val="32"/>
          <w:szCs w:val="32"/>
          <w:u w:val="none"/>
          <w:vertAlign w:val="subscript"/>
          <w14:textFill>
            <w14:solidFill>
              <w14:schemeClr w14:val="tx1"/>
            </w14:solidFill>
          </w14:textFill>
        </w:rPr>
        <w:t>q</w:t>
      </w:r>
      <w:r>
        <w:rPr>
          <w:rFonts w:ascii="仿宋" w:hAnsi="仿宋" w:eastAsia="仿宋" w:cs="仿宋"/>
          <w:b w:val="0"/>
          <w:color w:val="000000" w:themeColor="text1"/>
          <w:sz w:val="32"/>
          <w:szCs w:val="32"/>
          <w:u w:val="none"/>
          <w14:textFill>
            <w14:solidFill>
              <w14:schemeClr w14:val="tx1"/>
            </w14:solidFill>
          </w14:textFill>
        </w:rPr>
        <w:t>=1.6+0.1H</w:t>
      </w:r>
      <w:r>
        <w:rPr>
          <w:rFonts w:ascii="仿宋" w:hAnsi="仿宋" w:eastAsia="仿宋" w:cs="仿宋"/>
          <w:b w:val="0"/>
          <w:color w:val="000000" w:themeColor="text1"/>
          <w:sz w:val="32"/>
          <w:szCs w:val="32"/>
          <w:u w:val="none"/>
          <w:vertAlign w:val="subscript"/>
          <w14:textFill>
            <w14:solidFill>
              <w14:schemeClr w14:val="tx1"/>
            </w14:solidFill>
          </w14:textFill>
        </w:rPr>
        <w:t>1</w:t>
      </w:r>
      <w:r>
        <w:rPr>
          <w:rFonts w:ascii="仿宋" w:hAnsi="仿宋" w:eastAsia="仿宋" w:cs="仿宋"/>
          <w:b w:val="0"/>
          <w:color w:val="000000" w:themeColor="text1"/>
          <w:sz w:val="32"/>
          <w:szCs w:val="32"/>
          <w:u w:val="none"/>
          <w14:textFill>
            <w14:solidFill>
              <w14:schemeClr w14:val="tx1"/>
            </w14:solidFill>
          </w14:textFill>
        </w:rPr>
        <w:t>+H</w:t>
      </w:r>
      <w:r>
        <w:rPr>
          <w:rFonts w:ascii="仿宋" w:hAnsi="仿宋" w:eastAsia="仿宋" w:cs="仿宋"/>
          <w:b w:val="0"/>
          <w:color w:val="000000" w:themeColor="text1"/>
          <w:sz w:val="32"/>
          <w:szCs w:val="32"/>
          <w:u w:val="none"/>
          <w:vertAlign w:val="subscript"/>
          <w14:textFill>
            <w14:solidFill>
              <w14:schemeClr w14:val="tx1"/>
            </w14:solidFill>
          </w14:textFill>
        </w:rPr>
        <w:t>2</w:t>
      </w:r>
    </w:p>
    <w:p w14:paraId="14A2479E">
      <w:pPr>
        <w:keepNext w:val="0"/>
        <w:keepLines w:val="0"/>
        <w:pageBreakBefore w:val="0"/>
        <w:widowControl/>
        <w:kinsoku/>
        <w:wordWrap/>
        <w:topLinePunct w:val="0"/>
        <w:autoSpaceDE/>
        <w:autoSpaceDN/>
        <w:bidi w:val="0"/>
        <w:adjustRightInd/>
        <w:snapToGrid w:val="0"/>
        <w:spacing w:line="560" w:lineRule="exact"/>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式中：H</w:t>
      </w:r>
      <w:r>
        <w:rPr>
          <w:rFonts w:ascii="仿宋" w:hAnsi="仿宋" w:eastAsia="仿宋" w:cs="仿宋"/>
          <w:b w:val="0"/>
          <w:color w:val="000000" w:themeColor="text1"/>
          <w:sz w:val="32"/>
          <w:szCs w:val="32"/>
          <w:u w:val="none"/>
          <w:vertAlign w:val="subscript"/>
          <w14:textFill>
            <w14:solidFill>
              <w14:schemeClr w14:val="tx1"/>
            </w14:solidFill>
          </w14:textFill>
        </w:rPr>
        <w:t>q</w:t>
      </w:r>
      <w:r>
        <w:rPr>
          <w:rFonts w:hint="eastAsia" w:ascii="仿宋" w:hAnsi="仿宋" w:eastAsia="仿宋" w:cs="仿宋"/>
          <w:b w:val="0"/>
          <w:color w:val="000000" w:themeColor="text1"/>
          <w:sz w:val="32"/>
          <w:szCs w:val="32"/>
          <w:u w:val="none"/>
          <w14:textFill>
            <w14:solidFill>
              <w14:schemeClr w14:val="tx1"/>
            </w14:solidFill>
          </w14:textFill>
        </w:rPr>
        <w:t>—最小清晰高度（m）；</w:t>
      </w:r>
    </w:p>
    <w:p w14:paraId="5F836A32">
      <w:pPr>
        <w:keepNext w:val="0"/>
        <w:keepLines w:val="0"/>
        <w:pageBreakBefore w:val="0"/>
        <w:widowControl/>
        <w:kinsoku/>
        <w:wordWrap/>
        <w:topLinePunct w:val="0"/>
        <w:autoSpaceDE/>
        <w:autoSpaceDN/>
        <w:bidi w:val="0"/>
        <w:adjustRightInd/>
        <w:snapToGrid w:val="0"/>
        <w:spacing w:line="560" w:lineRule="exact"/>
        <w:ind w:firstLine="960" w:firstLineChars="3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H—单层空间楼板至吊顶的距离（m）；</w:t>
      </w:r>
    </w:p>
    <w:p w14:paraId="20EC5693">
      <w:pPr>
        <w:keepNext w:val="0"/>
        <w:keepLines w:val="0"/>
        <w:pageBreakBefore w:val="0"/>
        <w:widowControl/>
        <w:kinsoku/>
        <w:wordWrap/>
        <w:topLinePunct w:val="0"/>
        <w:autoSpaceDE/>
        <w:autoSpaceDN/>
        <w:bidi w:val="0"/>
        <w:adjustRightInd/>
        <w:snapToGrid w:val="0"/>
        <w:spacing w:line="560" w:lineRule="exact"/>
        <w:ind w:firstLine="960" w:firstLineChars="3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H</w:t>
      </w:r>
      <w:r>
        <w:rPr>
          <w:rFonts w:ascii="仿宋" w:hAnsi="仿宋" w:eastAsia="仿宋" w:cs="仿宋"/>
          <w:b w:val="0"/>
          <w:color w:val="000000" w:themeColor="text1"/>
          <w:sz w:val="32"/>
          <w:szCs w:val="32"/>
          <w:u w:val="none"/>
          <w:vertAlign w:val="subscript"/>
          <w14:textFill>
            <w14:solidFill>
              <w14:schemeClr w14:val="tx1"/>
            </w14:solidFill>
          </w14:textFill>
        </w:rPr>
        <w:t>1</w:t>
      </w:r>
      <w:r>
        <w:rPr>
          <w:rFonts w:hint="eastAsia" w:ascii="仿宋" w:hAnsi="仿宋" w:eastAsia="仿宋" w:cs="仿宋"/>
          <w:b w:val="0"/>
          <w:color w:val="000000" w:themeColor="text1"/>
          <w:sz w:val="32"/>
          <w:szCs w:val="32"/>
          <w:u w:val="none"/>
          <w14:textFill>
            <w14:solidFill>
              <w14:schemeClr w14:val="tx1"/>
            </w14:solidFill>
          </w14:textFill>
        </w:rPr>
        <w:t>—多层连通空间最高疏散楼层楼板至吊顶的距离（m）；</w:t>
      </w:r>
    </w:p>
    <w:p w14:paraId="13DF8560">
      <w:pPr>
        <w:keepNext w:val="0"/>
        <w:keepLines w:val="0"/>
        <w:pageBreakBefore w:val="0"/>
        <w:widowControl/>
        <w:kinsoku/>
        <w:wordWrap/>
        <w:topLinePunct w:val="0"/>
        <w:autoSpaceDE/>
        <w:autoSpaceDN/>
        <w:bidi w:val="0"/>
        <w:adjustRightInd/>
        <w:snapToGrid w:val="0"/>
        <w:spacing w:line="560" w:lineRule="exact"/>
        <w:ind w:left="0" w:leftChars="0" w:firstLine="960" w:firstLineChars="3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H</w:t>
      </w:r>
      <w:r>
        <w:rPr>
          <w:rFonts w:ascii="仿宋" w:hAnsi="仿宋" w:eastAsia="仿宋" w:cs="仿宋"/>
          <w:b w:val="0"/>
          <w:color w:val="000000" w:themeColor="text1"/>
          <w:sz w:val="32"/>
          <w:szCs w:val="32"/>
          <w:u w:val="none"/>
          <w:vertAlign w:val="subscript"/>
          <w14:textFill>
            <w14:solidFill>
              <w14:schemeClr w14:val="tx1"/>
            </w14:solidFill>
          </w14:textFill>
        </w:rPr>
        <w:t>2</w:t>
      </w:r>
      <w:r>
        <w:rPr>
          <w:rFonts w:hint="eastAsia" w:ascii="仿宋" w:hAnsi="仿宋" w:eastAsia="仿宋" w:cs="仿宋"/>
          <w:b w:val="0"/>
          <w:color w:val="000000" w:themeColor="text1"/>
          <w:sz w:val="32"/>
          <w:szCs w:val="32"/>
          <w:u w:val="none"/>
          <w14:textFill>
            <w14:solidFill>
              <w14:schemeClr w14:val="tx1"/>
            </w14:solidFill>
          </w14:textFill>
        </w:rPr>
        <w:t>—多层连通空间最高疏散楼层楼板至连通空间地面的距离（m）。</w:t>
      </w:r>
    </w:p>
    <w:p w14:paraId="449CE6A8">
      <w:pPr>
        <w:keepNext w:val="0"/>
        <w:keepLines w:val="0"/>
        <w:pageBreakBefore w:val="0"/>
        <w:widowControl/>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ascii="仿宋" w:hAnsi="仿宋" w:eastAsia="仿宋" w:cs="仿宋"/>
          <w:b w:val="0"/>
          <w:color w:val="000000" w:themeColor="text1"/>
          <w:sz w:val="32"/>
          <w:szCs w:val="32"/>
          <w:u w:val="none"/>
          <w14:textFill>
            <w14:solidFill>
              <w14:schemeClr w14:val="tx1"/>
            </w14:solidFill>
          </w14:textFill>
        </w:rPr>
        <w:t>3</w:t>
      </w:r>
      <w:r>
        <w:rPr>
          <w:rFonts w:hint="eastAsia" w:ascii="仿宋" w:hAnsi="仿宋" w:eastAsia="仿宋" w:cs="仿宋"/>
          <w:b w:val="0"/>
          <w:color w:val="000000" w:themeColor="text1"/>
          <w:sz w:val="32"/>
          <w:szCs w:val="32"/>
          <w:u w:val="none"/>
          <w14:textFill>
            <w14:solidFill>
              <w14:schemeClr w14:val="tx1"/>
            </w14:solidFill>
          </w14:textFill>
        </w:rPr>
        <w:t>）对于空间内有多个净高的防烟分区，计算清晰高度应保证人员所有活动区域最小清晰高度要求。</w:t>
      </w:r>
    </w:p>
    <w:p w14:paraId="28C7B295">
      <w:pPr>
        <w:keepNext w:val="0"/>
        <w:keepLines w:val="0"/>
        <w:pageBreakBefore w:val="0"/>
        <w:widowControl/>
        <w:kinsoku/>
        <w:wordWrap/>
        <w:topLinePunct w:val="0"/>
        <w:autoSpaceDE/>
        <w:autoSpaceDN/>
        <w:bidi w:val="0"/>
        <w:adjustRightInd/>
        <w:snapToGrid w:val="0"/>
        <w:spacing w:line="560" w:lineRule="exact"/>
        <w:ind w:left="0" w:leftChars="0" w:firstLine="640" w:firstLineChars="200"/>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4．同一防烟分区中两排烟口边缘之间的最小距离应按下式计算：</w:t>
      </w:r>
    </w:p>
    <w:p w14:paraId="564AB8AE">
      <w:pPr>
        <w:keepNext w:val="0"/>
        <w:keepLines w:val="0"/>
        <w:pageBreakBefore w:val="0"/>
        <w:widowControl/>
        <w:kinsoku/>
        <w:wordWrap/>
        <w:topLinePunct w:val="0"/>
        <w:autoSpaceDE/>
        <w:autoSpaceDN/>
        <w:bidi w:val="0"/>
        <w:adjustRightInd/>
        <w:snapToGrid w:val="0"/>
        <w:spacing w:line="560" w:lineRule="exact"/>
        <w:jc w:val="center"/>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ascii="仿宋" w:hAnsi="仿宋" w:eastAsia="仿宋" w:cs="仿宋"/>
          <w:b w:val="0"/>
          <w:color w:val="000000" w:themeColor="text1"/>
          <w:sz w:val="32"/>
          <w:szCs w:val="32"/>
          <w:u w:val="none"/>
          <w14:textFill>
            <w14:solidFill>
              <w14:schemeClr w14:val="tx1"/>
            </w14:solidFill>
          </w14:textFill>
        </w:rPr>
        <w:t>S</w:t>
      </w:r>
      <w:r>
        <w:rPr>
          <w:rFonts w:ascii="仿宋" w:hAnsi="仿宋" w:eastAsia="仿宋" w:cs="仿宋"/>
          <w:b w:val="0"/>
          <w:color w:val="000000" w:themeColor="text1"/>
          <w:sz w:val="32"/>
          <w:szCs w:val="32"/>
          <w:u w:val="none"/>
          <w:vertAlign w:val="subscript"/>
          <w14:textFill>
            <w14:solidFill>
              <w14:schemeClr w14:val="tx1"/>
            </w14:solidFill>
          </w14:textFill>
        </w:rPr>
        <w:t>min</w:t>
      </w:r>
      <w:r>
        <w:rPr>
          <w:rFonts w:ascii="仿宋" w:hAnsi="仿宋" w:eastAsia="仿宋" w:cs="仿宋"/>
          <w:b w:val="0"/>
          <w:color w:val="000000" w:themeColor="text1"/>
          <w:sz w:val="32"/>
          <w:szCs w:val="32"/>
          <w:u w:val="none"/>
          <w14:textFill>
            <w14:solidFill>
              <w14:schemeClr w14:val="tx1"/>
            </w14:solidFill>
          </w14:textFill>
        </w:rPr>
        <w:t>=0.9</w:t>
      </w:r>
      <w:r>
        <w:rPr>
          <w:rFonts w:hint="eastAsia" w:ascii="等线" w:hAnsi="等线" w:eastAsia="等线" w:cs="仿宋"/>
          <w:b w:val="0"/>
          <w:color w:val="000000" w:themeColor="text1"/>
          <w:sz w:val="32"/>
          <w:szCs w:val="32"/>
          <w:u w:val="none"/>
          <w14:textFill>
            <w14:solidFill>
              <w14:schemeClr w14:val="tx1"/>
            </w14:solidFill>
          </w14:textFill>
        </w:rPr>
        <w:t>•</w:t>
      </w:r>
      <w:r>
        <w:rPr>
          <w:rFonts w:ascii="仿宋" w:hAnsi="仿宋" w:eastAsia="仿宋" w:cs="仿宋"/>
          <w:b w:val="0"/>
          <w:color w:val="000000" w:themeColor="text1"/>
          <w:sz w:val="32"/>
          <w:szCs w:val="32"/>
          <w:u w:val="none"/>
          <w14:textFill>
            <w14:solidFill>
              <w14:schemeClr w14:val="tx1"/>
            </w14:solidFill>
          </w14:textFill>
        </w:rPr>
        <w:t>V</w:t>
      </w:r>
      <w:r>
        <w:rPr>
          <w:rFonts w:ascii="仿宋" w:hAnsi="仿宋" w:eastAsia="仿宋" w:cs="仿宋"/>
          <w:b w:val="0"/>
          <w:color w:val="000000" w:themeColor="text1"/>
          <w:sz w:val="32"/>
          <w:szCs w:val="32"/>
          <w:u w:val="none"/>
          <w:vertAlign w:val="subscript"/>
          <w14:textFill>
            <w14:solidFill>
              <w14:schemeClr w14:val="tx1"/>
            </w14:solidFill>
          </w14:textFill>
        </w:rPr>
        <w:t>e</w:t>
      </w:r>
      <w:r>
        <w:rPr>
          <w:rFonts w:ascii="仿宋" w:hAnsi="仿宋" w:eastAsia="仿宋" w:cs="仿宋"/>
          <w:b w:val="0"/>
          <w:color w:val="000000" w:themeColor="text1"/>
          <w:sz w:val="32"/>
          <w:szCs w:val="32"/>
          <w:u w:val="none"/>
          <w:vertAlign w:val="superscript"/>
          <w14:textFill>
            <w14:solidFill>
              <w14:schemeClr w14:val="tx1"/>
            </w14:solidFill>
          </w14:textFill>
        </w:rPr>
        <w:t>0.5</w:t>
      </w:r>
    </w:p>
    <w:p w14:paraId="16804ED7">
      <w:pPr>
        <w:keepNext w:val="0"/>
        <w:keepLines w:val="0"/>
        <w:pageBreakBefore w:val="0"/>
        <w:widowControl/>
        <w:kinsoku/>
        <w:wordWrap/>
        <w:topLinePunct w:val="0"/>
        <w:autoSpaceDE/>
        <w:autoSpaceDN/>
        <w:bidi w:val="0"/>
        <w:adjustRightInd/>
        <w:snapToGrid w:val="0"/>
        <w:spacing w:line="560" w:lineRule="exact"/>
        <w:jc w:val="left"/>
        <w:textAlignment w:val="auto"/>
        <w:rPr>
          <w:rFonts w:hint="eastAsia" w:ascii="仿宋" w:hAnsi="仿宋" w:eastAsia="仿宋" w:cs="仿宋"/>
          <w:b w:val="0"/>
          <w:color w:val="000000" w:themeColor="text1"/>
          <w:sz w:val="32"/>
          <w:szCs w:val="32"/>
          <w:u w:val="none"/>
          <w14:textFill>
            <w14:solidFill>
              <w14:schemeClr w14:val="tx1"/>
            </w14:solidFill>
          </w14:textFill>
        </w:rPr>
      </w:pPr>
      <w:r>
        <w:rPr>
          <w:rFonts w:hint="eastAsia" w:ascii="仿宋" w:hAnsi="仿宋" w:eastAsia="仿宋" w:cs="仿宋"/>
          <w:b w:val="0"/>
          <w:color w:val="000000" w:themeColor="text1"/>
          <w:sz w:val="32"/>
          <w:szCs w:val="32"/>
          <w:u w:val="none"/>
          <w14:textFill>
            <w14:solidFill>
              <w14:schemeClr w14:val="tx1"/>
            </w14:solidFill>
          </w14:textFill>
        </w:rPr>
        <w:t>式中：S</w:t>
      </w:r>
      <w:r>
        <w:rPr>
          <w:rFonts w:ascii="仿宋" w:hAnsi="仿宋" w:eastAsia="仿宋" w:cs="仿宋"/>
          <w:b w:val="0"/>
          <w:color w:val="000000" w:themeColor="text1"/>
          <w:sz w:val="32"/>
          <w:szCs w:val="32"/>
          <w:u w:val="none"/>
          <w:vertAlign w:val="subscript"/>
          <w14:textFill>
            <w14:solidFill>
              <w14:schemeClr w14:val="tx1"/>
            </w14:solidFill>
          </w14:textFill>
        </w:rPr>
        <w:t>min</w:t>
      </w:r>
      <w:r>
        <w:rPr>
          <w:rFonts w:hint="eastAsia" w:ascii="仿宋" w:hAnsi="仿宋" w:eastAsia="仿宋" w:cs="仿宋"/>
          <w:b w:val="0"/>
          <w:color w:val="000000" w:themeColor="text1"/>
          <w:sz w:val="32"/>
          <w:szCs w:val="32"/>
          <w:u w:val="none"/>
          <w14:textFill>
            <w14:solidFill>
              <w14:schemeClr w14:val="tx1"/>
            </w14:solidFill>
          </w14:textFill>
        </w:rPr>
        <w:t>—两排烟口边缘之间的最小距离（m）；</w:t>
      </w:r>
    </w:p>
    <w:p w14:paraId="3B4934D5">
      <w:pPr>
        <w:keepNext w:val="0"/>
        <w:keepLines w:val="0"/>
        <w:pageBreakBefore w:val="0"/>
        <w:widowControl/>
        <w:kinsoku/>
        <w:wordWrap/>
        <w:topLinePunct w:val="0"/>
        <w:autoSpaceDE/>
        <w:autoSpaceDN/>
        <w:bidi w:val="0"/>
        <w:adjustRightInd/>
        <w:snapToGrid w:val="0"/>
        <w:spacing w:line="560" w:lineRule="exact"/>
        <w:ind w:firstLine="960" w:firstLineChars="300"/>
        <w:jc w:val="left"/>
        <w:textAlignment w:val="auto"/>
      </w:pPr>
      <w:r>
        <w:rPr>
          <w:rFonts w:hint="eastAsia" w:ascii="仿宋" w:hAnsi="仿宋" w:eastAsia="仿宋" w:cs="仿宋"/>
          <w:b w:val="0"/>
          <w:color w:val="000000" w:themeColor="text1"/>
          <w:sz w:val="32"/>
          <w:szCs w:val="32"/>
          <w:u w:val="none"/>
          <w14:textFill>
            <w14:solidFill>
              <w14:schemeClr w14:val="tx1"/>
            </w14:solidFill>
          </w14:textFill>
        </w:rPr>
        <w:t>V</w:t>
      </w:r>
      <w:r>
        <w:rPr>
          <w:rFonts w:ascii="仿宋" w:hAnsi="仿宋" w:eastAsia="仿宋" w:cs="仿宋"/>
          <w:b w:val="0"/>
          <w:color w:val="000000" w:themeColor="text1"/>
          <w:sz w:val="32"/>
          <w:szCs w:val="32"/>
          <w:u w:val="none"/>
          <w:vertAlign w:val="subscript"/>
          <w14:textFill>
            <w14:solidFill>
              <w14:schemeClr w14:val="tx1"/>
            </w14:solidFill>
          </w14:textFill>
        </w:rPr>
        <w:t>e</w:t>
      </w:r>
      <w:r>
        <w:rPr>
          <w:rFonts w:hint="eastAsia" w:ascii="仿宋" w:hAnsi="仿宋" w:eastAsia="仿宋" w:cs="仿宋"/>
          <w:b w:val="0"/>
          <w:color w:val="000000" w:themeColor="text1"/>
          <w:sz w:val="32"/>
          <w:szCs w:val="32"/>
          <w:u w:val="none"/>
          <w14:textFill>
            <w14:solidFill>
              <w14:schemeClr w14:val="tx1"/>
            </w14:solidFill>
          </w14:textFill>
        </w:rPr>
        <w:t>—单个排烟口的排烟量(m</w:t>
      </w:r>
      <w:r>
        <w:rPr>
          <w:rFonts w:ascii="仿宋" w:hAnsi="仿宋" w:eastAsia="仿宋" w:cs="仿宋"/>
          <w:b w:val="0"/>
          <w:color w:val="000000" w:themeColor="text1"/>
          <w:sz w:val="32"/>
          <w:szCs w:val="32"/>
          <w:u w:val="none"/>
          <w:vertAlign w:val="superscript"/>
          <w14:textFill>
            <w14:solidFill>
              <w14:schemeClr w14:val="tx1"/>
            </w14:solidFill>
          </w14:textFill>
        </w:rPr>
        <w:t>3</w:t>
      </w:r>
      <w:r>
        <w:rPr>
          <w:rFonts w:hint="eastAsia" w:ascii="仿宋" w:hAnsi="仿宋" w:eastAsia="仿宋" w:cs="仿宋"/>
          <w:b w:val="0"/>
          <w:color w:val="000000" w:themeColor="text1"/>
          <w:sz w:val="32"/>
          <w:szCs w:val="32"/>
          <w:u w:val="none"/>
          <w14:textFill>
            <w14:solidFill>
              <w14:schemeClr w14:val="tx1"/>
            </w14:solidFill>
          </w14:textFill>
        </w:rPr>
        <w:t>/s)。</w:t>
      </w:r>
    </w:p>
    <w:p w14:paraId="66635FE1">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3.4对于电动挡烟垂壁，是否应设置一个最低降落高度要求？</w:t>
      </w:r>
    </w:p>
    <w:p w14:paraId="082A169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挡烟垂壁的最低高度不应低于500mm；电动挡烟垂壁动作后距离地面应不小于1.8m。</w:t>
      </w:r>
    </w:p>
    <w:p w14:paraId="27556A18">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3.5</w:t>
      </w:r>
      <w:r>
        <w:rPr>
          <w:rFonts w:hint="eastAsia"/>
        </w:rPr>
        <w:t>挡烟垂壁是否必须设置在建筑结构梁或顶板上？是否可设置在吊顶下？</w:t>
      </w:r>
    </w:p>
    <w:p w14:paraId="38944E1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1.根据《建筑防烟排烟系统技术标准》GB51251-2017图示，挡烟垂壁应设置在建筑结构梁上。</w:t>
      </w:r>
    </w:p>
    <w:p w14:paraId="26372063">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2.由于吊顶内存在大量管线，挡烟垂壁的安装非常困难。挡烟垂壁的作用是火灾初期阻隔烟气，对于不燃材料制作的密闭型吊顶，挡烟垂壁可设置在吊顶下。</w:t>
      </w:r>
    </w:p>
    <w:p w14:paraId="12CCEF77">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color w:val="000000" w:themeColor="text1"/>
          <w:sz w:val="28"/>
          <w:szCs w:val="28"/>
          <w14:textFill>
            <w14:solidFill>
              <w14:schemeClr w14:val="tx1"/>
            </w14:solidFill>
          </w14:textFill>
        </w:rPr>
      </w:pPr>
      <w:r>
        <w:drawing>
          <wp:inline distT="0" distB="0" distL="0" distR="0">
            <wp:extent cx="3949700" cy="1117600"/>
            <wp:effectExtent l="0" t="0" r="0" b="0"/>
            <wp:docPr id="132" name="图片 1" descr="https://www.cabr-fire.com/Web/uploads/allimg/230222/1502435Z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descr="https://www.cabr-fire.com/Web/uploads/allimg/230222/1502435Z0-0.jpg"/>
                    <pic:cNvPicPr>
                      <a:picLocks noChangeAspect="1" noChangeArrowheads="1"/>
                    </pic:cNvPicPr>
                  </pic:nvPicPr>
                  <pic:blipFill>
                    <a:blip r:embed="rId28"/>
                    <a:srcRect l="3133" t="6316" r="1818" b="4750"/>
                    <a:stretch>
                      <a:fillRect/>
                    </a:stretch>
                  </pic:blipFill>
                  <pic:spPr>
                    <a:xfrm>
                      <a:off x="0" y="0"/>
                      <a:ext cx="3949700" cy="1117600"/>
                    </a:xfrm>
                    <a:prstGeom prst="rect">
                      <a:avLst/>
                    </a:prstGeom>
                    <a:noFill/>
                    <a:ln w="9525">
                      <a:noFill/>
                      <a:miter lim="800000"/>
                      <a:headEnd/>
                      <a:tailEnd/>
                    </a:ln>
                  </pic:spPr>
                </pic:pic>
              </a:graphicData>
            </a:graphic>
          </wp:inline>
        </w:drawing>
      </w:r>
    </w:p>
    <w:p w14:paraId="2F8E6C58">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3.3 </w:t>
      </w:r>
      <w:r>
        <w:rPr>
          <w:rFonts w:hint="eastAsia" w:ascii="楷体_GB2312" w:hAnsi="楷体_GB2312" w:eastAsia="楷体_GB2312" w:cs="楷体_GB2312"/>
          <w:b/>
          <w:bCs/>
          <w:sz w:val="24"/>
          <w:szCs w:val="24"/>
        </w:rPr>
        <w:t>挡烟垂壁设置在建筑结构梁或顶板上（一）</w:t>
      </w:r>
    </w:p>
    <w:p w14:paraId="7594851B">
      <w:pPr>
        <w:pStyle w:val="6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pPr>
      <w:r>
        <w:drawing>
          <wp:inline distT="0" distB="0" distL="0" distR="0">
            <wp:extent cx="3453765" cy="1115695"/>
            <wp:effectExtent l="0" t="0" r="13335" b="8255"/>
            <wp:docPr id="133" name="图片 4" descr="https://www.cabr-fire.com/Web/uploads/allimg/221116/10-22111614525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descr="https://www.cabr-fire.com/Web/uploads/allimg/221116/10-22111614525T27.jpg"/>
                    <pic:cNvPicPr>
                      <a:picLocks noChangeAspect="1" noChangeArrowheads="1"/>
                    </pic:cNvPicPr>
                  </pic:nvPicPr>
                  <pic:blipFill>
                    <a:blip r:embed="rId29" cstate="print"/>
                    <a:srcRect l="1476" t="1387" r="2797" b="6611"/>
                    <a:stretch>
                      <a:fillRect/>
                    </a:stretch>
                  </pic:blipFill>
                  <pic:spPr>
                    <a:xfrm>
                      <a:off x="0" y="0"/>
                      <a:ext cx="3453765" cy="1115695"/>
                    </a:xfrm>
                    <a:prstGeom prst="rect">
                      <a:avLst/>
                    </a:prstGeom>
                    <a:noFill/>
                    <a:ln w="9525">
                      <a:noFill/>
                      <a:miter lim="800000"/>
                      <a:headEnd/>
                      <a:tailEnd/>
                    </a:ln>
                  </pic:spPr>
                </pic:pic>
              </a:graphicData>
            </a:graphic>
          </wp:inline>
        </w:drawing>
      </w:r>
    </w:p>
    <w:p w14:paraId="3C0EAE52">
      <w:pPr>
        <w:pStyle w:val="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楷体_GB2312" w:hAnsi="楷体_GB2312" w:eastAsia="楷体_GB2312" w:cs="楷体_GB2312"/>
          <w:b/>
          <w:bCs/>
          <w:sz w:val="24"/>
          <w:szCs w:val="24"/>
        </w:rPr>
      </w:pPr>
      <w:r>
        <w:rPr>
          <w:rFonts w:hint="eastAsia" w:ascii="楷体_GB2312" w:hAnsi="楷体_GB2312" w:eastAsia="楷体_GB2312" w:cs="楷体_GB2312"/>
          <w:b/>
          <w:bCs/>
          <w:sz w:val="24"/>
          <w:szCs w:val="24"/>
        </w:rPr>
        <w:t>图</w:t>
      </w:r>
      <w:r>
        <w:rPr>
          <w:rFonts w:hint="eastAsia" w:ascii="楷体_GB2312" w:hAnsi="楷体_GB2312" w:eastAsia="楷体_GB2312" w:cs="楷体_GB2312"/>
          <w:b/>
          <w:bCs/>
          <w:sz w:val="24"/>
          <w:szCs w:val="24"/>
          <w:lang w:val="en-US" w:eastAsia="zh-CN"/>
        </w:rPr>
        <w:t xml:space="preserve">3.4 </w:t>
      </w:r>
      <w:r>
        <w:rPr>
          <w:rFonts w:hint="eastAsia" w:ascii="楷体_GB2312" w:hAnsi="楷体_GB2312" w:eastAsia="楷体_GB2312" w:cs="楷体_GB2312"/>
          <w:b/>
          <w:bCs/>
          <w:sz w:val="24"/>
          <w:szCs w:val="24"/>
        </w:rPr>
        <w:t>挡烟垂壁设置在建筑结构梁或顶板上（二）</w:t>
      </w:r>
    </w:p>
    <w:p w14:paraId="059D43E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3.6排烟口开在排烟管道上部是否可以？</w:t>
      </w:r>
    </w:p>
    <w:p w14:paraId="73F2169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排烟口开设在排烟管道的具体部位，规范未做明确规定，宜设置在储烟仓内排烟管道的下部或侧面；不影响排烟口面积的情况下可设置在排烟管道上部，应在排烟管道下部、排烟口对应位置设置明显的标识。</w:t>
      </w:r>
    </w:p>
    <w:p w14:paraId="412DE9B8">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当排烟口设置在风管的上部时，排烟口与楼板的距离应满足排烟口与楼板处气流流通断面风速不大于</w:t>
      </w:r>
      <w:r>
        <w:rPr>
          <w:b w:val="0"/>
          <w:bCs w:val="0"/>
        </w:rPr>
        <w:t>10m/s</w:t>
      </w:r>
      <w:r>
        <w:rPr>
          <w:rFonts w:hint="eastAsia"/>
          <w:b w:val="0"/>
          <w:bCs w:val="0"/>
        </w:rPr>
        <w:t>的要求，并应采取防止自喷水流进入排烟管的措施。</w:t>
      </w:r>
    </w:p>
    <w:p w14:paraId="63559C26">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3.7设置在高位的多个自然排烟窗（口），设置手动开启装置，不便于火灾时及时（同时）开启，设计审查验收时应如何把握？</w:t>
      </w:r>
    </w:p>
    <w:p w14:paraId="6FA6867B">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设置在高处不便于直接开启的多个自然排烟窗（口），为便于火灾时能及时有效开启，宜设置电动</w:t>
      </w:r>
      <w:r>
        <w:rPr>
          <w:rFonts w:hint="eastAsia"/>
          <w:b w:val="0"/>
          <w:bCs w:val="0"/>
          <w:lang w:eastAsia="zh-CN"/>
        </w:rPr>
        <w:t>开启方式</w:t>
      </w:r>
      <w:r>
        <w:rPr>
          <w:rFonts w:hint="eastAsia"/>
          <w:b w:val="0"/>
          <w:bCs w:val="0"/>
        </w:rPr>
        <w:t>，且宜集中手动控制，手动控制装置距地面高度应为</w:t>
      </w:r>
      <w:r>
        <w:rPr>
          <w:b w:val="0"/>
          <w:bCs w:val="0"/>
        </w:rPr>
        <w:t>1.3m</w:t>
      </w:r>
      <w:r>
        <w:rPr>
          <w:rFonts w:hint="eastAsia" w:ascii="MS Mincho" w:hAnsi="MS Mincho" w:eastAsia="MS Mincho" w:cs="MS Mincho"/>
          <w:b w:val="0"/>
          <w:bCs w:val="0"/>
        </w:rPr>
        <w:t>〜</w:t>
      </w:r>
      <w:r>
        <w:rPr>
          <w:b w:val="0"/>
          <w:bCs w:val="0"/>
        </w:rPr>
        <w:t>1.5m</w:t>
      </w:r>
      <w:r>
        <w:rPr>
          <w:rFonts w:hint="eastAsia"/>
          <w:b w:val="0"/>
          <w:bCs w:val="0"/>
        </w:rPr>
        <w:t>。</w:t>
      </w:r>
    </w:p>
    <w:p w14:paraId="4B51769A">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rFonts w:hint="eastAsia"/>
          <w:b w:val="0"/>
          <w:bCs w:val="0"/>
        </w:rPr>
      </w:pPr>
      <w:r>
        <w:rPr>
          <w:rFonts w:hint="eastAsia"/>
          <w:b w:val="0"/>
          <w:bCs w:val="0"/>
        </w:rPr>
        <w:t>净空高度大于9m的中庭、建筑面积大于2000㎡的营业厅、展览厅、多功能厅等场所，尚应设置集中手动开启装置和自动开启设施。</w:t>
      </w:r>
    </w:p>
    <w:p w14:paraId="0B9FD00A">
      <w:pPr>
        <w:rPr>
          <w:rFonts w:hint="eastAsia"/>
          <w:b w:val="0"/>
          <w:bCs w:val="0"/>
        </w:rPr>
      </w:pPr>
      <w:r>
        <w:rPr>
          <w:rFonts w:hint="eastAsia"/>
          <w:b w:val="0"/>
          <w:bCs w:val="0"/>
        </w:rPr>
        <w:br w:type="page"/>
      </w:r>
    </w:p>
    <w:p w14:paraId="1F63B56D">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p>
    <w:p w14:paraId="3E7E2F29">
      <w:pPr>
        <w:pStyle w:val="61"/>
        <w:keepNext w:val="0"/>
        <w:keepLines w:val="0"/>
        <w:pageBreakBefore w:val="0"/>
        <w:kinsoku/>
        <w:wordWrap/>
        <w:topLinePunct w:val="0"/>
        <w:autoSpaceDE/>
        <w:autoSpaceDN/>
        <w:bidi w:val="0"/>
        <w:adjustRightInd/>
        <w:snapToGrid w:val="0"/>
        <w:spacing w:line="560" w:lineRule="exact"/>
        <w:jc w:val="center"/>
        <w:textAlignment w:val="auto"/>
        <w:rPr>
          <w:rFonts w:hint="eastAsia" w:ascii="黑体" w:hAnsi="黑体" w:eastAsia="黑体" w:cs="黑体"/>
          <w:sz w:val="36"/>
          <w:szCs w:val="36"/>
        </w:rPr>
      </w:pPr>
      <w:bookmarkStart w:id="24" w:name="_Toc159324933"/>
      <w:r>
        <w:rPr>
          <w:rFonts w:hint="eastAsia" w:ascii="黑体" w:hAnsi="黑体" w:eastAsia="黑体" w:cs="黑体"/>
          <w:sz w:val="36"/>
          <w:szCs w:val="36"/>
        </w:rPr>
        <w:t>第四部分</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电气</w:t>
      </w:r>
      <w:bookmarkEnd w:id="24"/>
      <w:r>
        <w:rPr>
          <w:rFonts w:hint="eastAsia" w:ascii="黑体" w:hAnsi="黑体" w:eastAsia="黑体" w:cs="黑体"/>
          <w:sz w:val="36"/>
          <w:szCs w:val="36"/>
        </w:rPr>
        <w:t>专业</w:t>
      </w:r>
    </w:p>
    <w:p w14:paraId="25080CBC">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p>
    <w:p w14:paraId="44EE61A5">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4.1关于旅馆建筑“设有火灾自动报警系统的旅馆类建筑，每间客房至少有1盏灯接入应急照明供电回路。”如何把控？</w:t>
      </w:r>
    </w:p>
    <w:p w14:paraId="7760B23C">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《宿舍、旅馆建筑项目规范》GB55025-2022第4.1.4条规定，设有火灾自动报警系统的旅馆类建筑，每间客房应至少有1盏灯接入应急照明供电回路。</w:t>
      </w:r>
    </w:p>
    <w:p w14:paraId="6C64A6DF">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rPr>
          <w:highlight w:val="yellow"/>
        </w:rPr>
      </w:pPr>
      <w:r>
        <w:rPr>
          <w:rFonts w:hint="eastAsia"/>
        </w:rPr>
        <w:t>4.2是否要求电气火灾监控系统、可燃气体探测报警系统的报警控制器主机相关报警信息接入到消防控制室图形显示装置上？</w:t>
      </w:r>
    </w:p>
    <w:p w14:paraId="68DE9D9B">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pPr>
      <w:r>
        <w:rPr>
          <w:rFonts w:hint="eastAsia"/>
          <w:b w:val="0"/>
          <w:bCs w:val="0"/>
        </w:rPr>
        <w:t>当电气火灾监控系统、可燃气体探测报警系统、消防设备电源监控系统、防火门监控系统的报警控制器主机安装在消防控制室内时，可以不接入到消防控制室图形显示装置。当接入时，消防控制室图形显示装置与火灾报警控制器、消防联动控制器、电气火灾监控器、可燃气体报警控制器等消防设备之间，应采用专用线路连接，</w:t>
      </w:r>
      <w:r>
        <w:rPr>
          <w:b w:val="0"/>
          <w:bCs w:val="0"/>
        </w:rPr>
        <w:t>该类信息与火灾报警信息的显示应有区别。</w:t>
      </w:r>
    </w:p>
    <w:p w14:paraId="75E7EB1E">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4.3对于未设置消防控制室但采用集中电源供电的非集中型控制系统，对于其火灾时的控制启动应如何要求？</w:t>
      </w:r>
    </w:p>
    <w:p w14:paraId="2E3AB608">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应符合《消防应急照明和疏散指示系统技术标准》GB51309-2018第3.7节有关要求。</w:t>
      </w:r>
    </w:p>
    <w:p w14:paraId="4D0B74C2">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对于未设置消防控制室但采用集中电源供电的非集中型控制系统，集中电源应设置在有人值班的场所，火灾确认后，应能手动控制系统的应急启动；设置区域火灾报警系统的场所，尚应能自动控制系统的应急启动。</w:t>
      </w:r>
    </w:p>
    <w:p w14:paraId="466AE3E3">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4.4《民用建筑电气设计标准》GB51348-2019第13.7.14条规定，除防火卷帘的控制箱外，消防用电设备的配电箱和控制箱应安装在机房或配电小间内。参照该规定，挡烟垂壁的控制箱是否可以设置在现场？</w:t>
      </w:r>
    </w:p>
    <w:p w14:paraId="5F1CFBE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挡烟垂壁的控制箱与防火卷帘的控制箱功能类似，应在挡烟垂壁附近设置。</w:t>
      </w:r>
    </w:p>
    <w:p w14:paraId="733F73A8">
      <w:pPr>
        <w:pStyle w:val="61"/>
        <w:keepNext w:val="0"/>
        <w:keepLines w:val="0"/>
        <w:pageBreakBefore w:val="0"/>
        <w:kinsoku/>
        <w:wordWrap/>
        <w:topLinePunct w:val="0"/>
        <w:autoSpaceDE/>
        <w:autoSpaceDN/>
        <w:bidi w:val="0"/>
        <w:adjustRightInd/>
        <w:snapToGrid w:val="0"/>
        <w:spacing w:line="560" w:lineRule="exact"/>
        <w:ind w:left="0" w:leftChars="0" w:firstLine="619" w:firstLineChars="200"/>
        <w:textAlignment w:val="auto"/>
        <w:rPr>
          <w:b/>
          <w:bCs/>
          <w:spacing w:val="-6"/>
          <w:sz w:val="32"/>
        </w:rPr>
      </w:pPr>
      <w:r>
        <w:rPr>
          <w:rFonts w:hint="eastAsia"/>
          <w:b/>
          <w:bCs/>
          <w:spacing w:val="-6"/>
          <w:sz w:val="32"/>
        </w:rPr>
        <w:t>4.5可开启的防火窗必须通过火灾自动报警系统联动关闭吗？</w:t>
      </w:r>
    </w:p>
    <w:p w14:paraId="5CE7570A">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可开启的防火窗除手动控制启闭功能外，尚具有易熔合金件或玻璃球等热敏感元件温度控制关闭的功能，达到一定温度时，防火窗自行关闭。</w:t>
      </w:r>
    </w:p>
    <w:p w14:paraId="1806DC27">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防火窗的启闭控制方式可以附加电动控制方式，可通过火灾自动报警系统联动控制。</w:t>
      </w:r>
    </w:p>
    <w:p w14:paraId="31B13A4A">
      <w:pPr>
        <w:pStyle w:val="61"/>
        <w:keepNext w:val="0"/>
        <w:keepLines w:val="0"/>
        <w:pageBreakBefore w:val="0"/>
        <w:kinsoku/>
        <w:wordWrap/>
        <w:topLinePunct w:val="0"/>
        <w:autoSpaceDE/>
        <w:autoSpaceDN/>
        <w:bidi w:val="0"/>
        <w:adjustRightInd/>
        <w:snapToGrid w:val="0"/>
        <w:spacing w:line="560" w:lineRule="exact"/>
        <w:ind w:left="0" w:leftChars="0" w:firstLine="643" w:firstLineChars="200"/>
        <w:textAlignment w:val="auto"/>
      </w:pPr>
      <w:r>
        <w:rPr>
          <w:rFonts w:hint="eastAsia"/>
        </w:rPr>
        <w:t>4.6设有火灾自动报警系统的公共建筑的封闭式阳台，是否应设置火灾探测器？</w:t>
      </w:r>
    </w:p>
    <w:p w14:paraId="64526D25">
      <w:pPr>
        <w:pStyle w:val="61"/>
        <w:keepNext w:val="0"/>
        <w:keepLines w:val="0"/>
        <w:pageBreakBefore w:val="0"/>
        <w:kinsoku/>
        <w:wordWrap/>
        <w:topLinePunct w:val="0"/>
        <w:autoSpaceDE/>
        <w:autoSpaceDN/>
        <w:bidi w:val="0"/>
        <w:adjustRightInd/>
        <w:snapToGrid w:val="0"/>
        <w:spacing w:line="560" w:lineRule="exact"/>
        <w:ind w:left="0" w:leftChars="0" w:firstLine="640" w:firstLineChars="200"/>
        <w:textAlignment w:val="auto"/>
        <w:rPr>
          <w:b w:val="0"/>
          <w:bCs w:val="0"/>
        </w:rPr>
      </w:pPr>
      <w:r>
        <w:rPr>
          <w:rFonts w:hint="eastAsia"/>
          <w:b w:val="0"/>
          <w:bCs w:val="0"/>
        </w:rPr>
        <w:t>每个探测区域应至少设置一只火灾探测器。封闭式阳台形成独立的探测区域时应设置火灾探测器。</w:t>
      </w:r>
    </w:p>
    <w:p w14:paraId="1FF1672E">
      <w:pPr>
        <w:pStyle w:val="28"/>
        <w:keepNext w:val="0"/>
        <w:keepLines w:val="0"/>
        <w:pageBreakBefore w:val="0"/>
        <w:widowControl w:val="0"/>
        <w:kinsoku/>
        <w:wordWrap/>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Times New Roman" w:eastAsia="仿宋_GB2312" w:cs="Times New Roman"/>
          <w:b/>
          <w:bCs/>
          <w:color w:val="auto"/>
          <w:kern w:val="44"/>
          <w:sz w:val="32"/>
          <w:szCs w:val="32"/>
          <w:u w:val="none"/>
          <w:lang w:val="en-US" w:eastAsia="zh-CN" w:bidi="ar-SA"/>
        </w:rPr>
      </w:pPr>
      <w:r>
        <w:rPr>
          <w:rFonts w:hint="eastAsia" w:ascii="仿宋_GB2312" w:hAnsi="Times New Roman" w:eastAsia="仿宋_GB2312" w:cs="Times New Roman"/>
          <w:b/>
          <w:bCs/>
          <w:color w:val="auto"/>
          <w:kern w:val="44"/>
          <w:sz w:val="32"/>
          <w:szCs w:val="32"/>
          <w:u w:val="none"/>
          <w:lang w:val="en-US" w:eastAsia="zh-CN" w:bidi="ar-SA"/>
        </w:rPr>
        <w:t>4.7设置自动喷水灭火系统的防排烟机房内风机控制箱防水等级如何把控？</w:t>
      </w:r>
    </w:p>
    <w:p w14:paraId="38543399">
      <w:pPr>
        <w:pStyle w:val="28"/>
        <w:keepNext w:val="0"/>
        <w:keepLines w:val="0"/>
        <w:pageBreakBefore w:val="0"/>
        <w:widowControl w:val="0"/>
        <w:kinsoku/>
        <w:wordWrap/>
        <w:topLinePunct w:val="0"/>
        <w:autoSpaceDE/>
        <w:autoSpaceDN/>
        <w:bidi w:val="0"/>
        <w:adjustRightInd/>
        <w:snapToGrid w:val="0"/>
        <w:spacing w:before="0" w:beforeAutospacing="0" w:after="0" w:afterAutospacing="0" w:line="560" w:lineRule="exact"/>
        <w:ind w:left="0" w:leftChars="0" w:firstLine="640" w:firstLineChars="200"/>
        <w:jc w:val="both"/>
        <w:textAlignment w:val="auto"/>
        <w:rPr>
          <w:rFonts w:hint="eastAsia" w:ascii="仿宋_GB2312" w:hAnsi="Times New Roman" w:eastAsia="仿宋_GB2312" w:cs="Times New Roman"/>
          <w:b w:val="0"/>
          <w:bCs w:val="0"/>
          <w:color w:val="auto"/>
          <w:kern w:val="44"/>
          <w:sz w:val="32"/>
          <w:szCs w:val="32"/>
          <w:u w:val="none"/>
          <w:lang w:val="en-US" w:eastAsia="zh-CN" w:bidi="ar-SA"/>
        </w:rPr>
      </w:pPr>
      <w:r>
        <w:rPr>
          <w:rFonts w:hint="eastAsia" w:ascii="仿宋_GB2312" w:hAnsi="Times New Roman" w:eastAsia="仿宋_GB2312" w:cs="Times New Roman"/>
          <w:b w:val="0"/>
          <w:bCs w:val="0"/>
          <w:color w:val="auto"/>
          <w:kern w:val="44"/>
          <w:sz w:val="32"/>
          <w:szCs w:val="32"/>
          <w:u w:val="none"/>
          <w:lang w:val="en-US" w:eastAsia="zh-CN" w:bidi="ar-SA"/>
        </w:rPr>
        <w:t>应采用不低于IPX5防护等级的电源、控制箱。</w:t>
      </w:r>
    </w:p>
    <w:sectPr>
      <w:footerReference r:id="rId8" w:type="default"/>
      <w:pgSz w:w="11906" w:h="16838"/>
      <w:pgMar w:top="2098" w:right="1474" w:bottom="1984" w:left="1474"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Gulim">
    <w:panose1 w:val="020B0600000101010101"/>
    <w:charset w:val="81"/>
    <w:family w:val="swiss"/>
    <w:pitch w:val="default"/>
    <w:sig w:usb0="B00002AF" w:usb1="69D77CFB" w:usb2="00000030" w:usb3="00000000" w:csb0="4008009F" w:csb1="DFD70000"/>
  </w:font>
  <w:font w:name="Trebuchet MS">
    <w:panose1 w:val="020B0603020202020204"/>
    <w:charset w:val="00"/>
    <w:family w:val="swiss"/>
    <w:pitch w:val="default"/>
    <w:sig w:usb0="00000287" w:usb1="00000000" w:usb2="00000000" w:usb3="00000000" w:csb0="2000009F" w:csb1="00000000"/>
  </w:font>
  <w:font w:name="FuturaA Bk B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215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7FCE0">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2E17E">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9E86">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4AF42">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D971C">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ECD5CD">
                          <w:pPr>
                            <w:pStyle w:val="20"/>
                          </w:pPr>
                          <w:r>
                            <w:rPr>
                              <w:rFonts w:hint="eastAsia" w:ascii="宋体" w:hAnsi="宋体" w:eastAsia="宋体" w:cs="宋体"/>
                              <w:b w:val="0"/>
                              <w:bCs w:val="0"/>
                              <w:color w:val="auto"/>
                              <w:sz w:val="28"/>
                              <w:szCs w:val="28"/>
                              <w:u w:val="none"/>
                            </w:rPr>
                            <w:fldChar w:fldCharType="begin"/>
                          </w:r>
                          <w:r>
                            <w:rPr>
                              <w:rFonts w:hint="eastAsia" w:ascii="宋体" w:hAnsi="宋体" w:eastAsia="宋体" w:cs="宋体"/>
                              <w:b w:val="0"/>
                              <w:bCs w:val="0"/>
                              <w:color w:val="auto"/>
                              <w:sz w:val="28"/>
                              <w:szCs w:val="28"/>
                              <w:u w:val="none"/>
                            </w:rPr>
                            <w:instrText xml:space="preserve"> PAGE  \* MERGEFORMAT </w:instrText>
                          </w:r>
                          <w:r>
                            <w:rPr>
                              <w:rFonts w:hint="eastAsia" w:ascii="宋体" w:hAnsi="宋体" w:eastAsia="宋体" w:cs="宋体"/>
                              <w:b w:val="0"/>
                              <w:bCs w:val="0"/>
                              <w:color w:val="auto"/>
                              <w:sz w:val="28"/>
                              <w:szCs w:val="28"/>
                              <w:u w:val="none"/>
                            </w:rPr>
                            <w:fldChar w:fldCharType="separate"/>
                          </w:r>
                          <w:r>
                            <w:rPr>
                              <w:rFonts w:hint="eastAsia" w:ascii="宋体" w:hAnsi="宋体" w:eastAsia="宋体" w:cs="宋体"/>
                              <w:b w:val="0"/>
                              <w:bCs w:val="0"/>
                              <w:color w:val="auto"/>
                              <w:sz w:val="28"/>
                              <w:szCs w:val="28"/>
                              <w:u w:val="none"/>
                            </w:rPr>
                            <w:t>1</w:t>
                          </w:r>
                          <w:r>
                            <w:rPr>
                              <w:rFonts w:hint="eastAsia" w:ascii="宋体" w:hAnsi="宋体" w:eastAsia="宋体" w:cs="宋体"/>
                              <w:b w:val="0"/>
                              <w:bCs w:val="0"/>
                              <w:color w:val="auto"/>
                              <w:sz w:val="28"/>
                              <w:szCs w:val="28"/>
                              <w:u w:val="none"/>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6ECD5CD">
                    <w:pPr>
                      <w:pStyle w:val="20"/>
                    </w:pPr>
                    <w:r>
                      <w:rPr>
                        <w:rFonts w:hint="eastAsia" w:ascii="宋体" w:hAnsi="宋体" w:eastAsia="宋体" w:cs="宋体"/>
                        <w:b w:val="0"/>
                        <w:bCs w:val="0"/>
                        <w:color w:val="auto"/>
                        <w:sz w:val="28"/>
                        <w:szCs w:val="28"/>
                        <w:u w:val="none"/>
                      </w:rPr>
                      <w:fldChar w:fldCharType="begin"/>
                    </w:r>
                    <w:r>
                      <w:rPr>
                        <w:rFonts w:hint="eastAsia" w:ascii="宋体" w:hAnsi="宋体" w:eastAsia="宋体" w:cs="宋体"/>
                        <w:b w:val="0"/>
                        <w:bCs w:val="0"/>
                        <w:color w:val="auto"/>
                        <w:sz w:val="28"/>
                        <w:szCs w:val="28"/>
                        <w:u w:val="none"/>
                      </w:rPr>
                      <w:instrText xml:space="preserve"> PAGE  \* MERGEFORMAT </w:instrText>
                    </w:r>
                    <w:r>
                      <w:rPr>
                        <w:rFonts w:hint="eastAsia" w:ascii="宋体" w:hAnsi="宋体" w:eastAsia="宋体" w:cs="宋体"/>
                        <w:b w:val="0"/>
                        <w:bCs w:val="0"/>
                        <w:color w:val="auto"/>
                        <w:sz w:val="28"/>
                        <w:szCs w:val="28"/>
                        <w:u w:val="none"/>
                      </w:rPr>
                      <w:fldChar w:fldCharType="separate"/>
                    </w:r>
                    <w:r>
                      <w:rPr>
                        <w:rFonts w:hint="eastAsia" w:ascii="宋体" w:hAnsi="宋体" w:eastAsia="宋体" w:cs="宋体"/>
                        <w:b w:val="0"/>
                        <w:bCs w:val="0"/>
                        <w:color w:val="auto"/>
                        <w:sz w:val="28"/>
                        <w:szCs w:val="28"/>
                        <w:u w:val="none"/>
                      </w:rPr>
                      <w:t>1</w:t>
                    </w:r>
                    <w:r>
                      <w:rPr>
                        <w:rFonts w:hint="eastAsia" w:ascii="宋体" w:hAnsi="宋体" w:eastAsia="宋体" w:cs="宋体"/>
                        <w:b w:val="0"/>
                        <w:bCs w:val="0"/>
                        <w:color w:val="auto"/>
                        <w:sz w:val="28"/>
                        <w:szCs w:val="28"/>
                        <w:u w:val="none"/>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hM2Y5YTc1ZjgyMDM2OTNiZTllNjRkODdkNDlkYjMifQ=="/>
  </w:docVars>
  <w:rsids>
    <w:rsidRoot w:val="00DF4C17"/>
    <w:rsid w:val="00000720"/>
    <w:rsid w:val="0000363F"/>
    <w:rsid w:val="00007DB4"/>
    <w:rsid w:val="00010DDA"/>
    <w:rsid w:val="0001247D"/>
    <w:rsid w:val="00015943"/>
    <w:rsid w:val="00017F9B"/>
    <w:rsid w:val="00021FDB"/>
    <w:rsid w:val="00026946"/>
    <w:rsid w:val="00026F2B"/>
    <w:rsid w:val="0003510C"/>
    <w:rsid w:val="00035239"/>
    <w:rsid w:val="000360BF"/>
    <w:rsid w:val="00037C66"/>
    <w:rsid w:val="000418EF"/>
    <w:rsid w:val="00042EB3"/>
    <w:rsid w:val="000446AA"/>
    <w:rsid w:val="0004507C"/>
    <w:rsid w:val="00053FEC"/>
    <w:rsid w:val="00056871"/>
    <w:rsid w:val="00062ADC"/>
    <w:rsid w:val="00064A4D"/>
    <w:rsid w:val="00065B87"/>
    <w:rsid w:val="000662AC"/>
    <w:rsid w:val="00066316"/>
    <w:rsid w:val="000703B9"/>
    <w:rsid w:val="00074D87"/>
    <w:rsid w:val="00075984"/>
    <w:rsid w:val="0008019D"/>
    <w:rsid w:val="00080A8E"/>
    <w:rsid w:val="00082E90"/>
    <w:rsid w:val="000864BC"/>
    <w:rsid w:val="00087C3B"/>
    <w:rsid w:val="00091576"/>
    <w:rsid w:val="00091F59"/>
    <w:rsid w:val="00095648"/>
    <w:rsid w:val="000A2D0C"/>
    <w:rsid w:val="000A3FB1"/>
    <w:rsid w:val="000A5603"/>
    <w:rsid w:val="000A5DC5"/>
    <w:rsid w:val="000A6126"/>
    <w:rsid w:val="000A64CB"/>
    <w:rsid w:val="000B0C2B"/>
    <w:rsid w:val="000B19C5"/>
    <w:rsid w:val="000B2BD9"/>
    <w:rsid w:val="000B483C"/>
    <w:rsid w:val="000B4D4B"/>
    <w:rsid w:val="000B70B4"/>
    <w:rsid w:val="000B79F2"/>
    <w:rsid w:val="000C40D8"/>
    <w:rsid w:val="000C68E6"/>
    <w:rsid w:val="000D36BA"/>
    <w:rsid w:val="000E1B99"/>
    <w:rsid w:val="000E33E1"/>
    <w:rsid w:val="000E65A9"/>
    <w:rsid w:val="000F168A"/>
    <w:rsid w:val="000F46F3"/>
    <w:rsid w:val="000F74B8"/>
    <w:rsid w:val="00100D6F"/>
    <w:rsid w:val="00105DB8"/>
    <w:rsid w:val="001103FC"/>
    <w:rsid w:val="001107A3"/>
    <w:rsid w:val="001108DB"/>
    <w:rsid w:val="00113BAE"/>
    <w:rsid w:val="00115961"/>
    <w:rsid w:val="001229BD"/>
    <w:rsid w:val="001246A8"/>
    <w:rsid w:val="001304C9"/>
    <w:rsid w:val="00131F0D"/>
    <w:rsid w:val="00133147"/>
    <w:rsid w:val="00133D3E"/>
    <w:rsid w:val="00135838"/>
    <w:rsid w:val="00140C2E"/>
    <w:rsid w:val="001462C9"/>
    <w:rsid w:val="0015118E"/>
    <w:rsid w:val="00156EEF"/>
    <w:rsid w:val="00157BDD"/>
    <w:rsid w:val="001640CE"/>
    <w:rsid w:val="001648EE"/>
    <w:rsid w:val="00165E10"/>
    <w:rsid w:val="00167D46"/>
    <w:rsid w:val="00167EB2"/>
    <w:rsid w:val="001740B7"/>
    <w:rsid w:val="00176BD4"/>
    <w:rsid w:val="00180E31"/>
    <w:rsid w:val="00185178"/>
    <w:rsid w:val="00191C79"/>
    <w:rsid w:val="0019380A"/>
    <w:rsid w:val="001A1275"/>
    <w:rsid w:val="001A4AFD"/>
    <w:rsid w:val="001B3EFE"/>
    <w:rsid w:val="001C288D"/>
    <w:rsid w:val="001C28D8"/>
    <w:rsid w:val="001D1B28"/>
    <w:rsid w:val="001D2C8D"/>
    <w:rsid w:val="001D7753"/>
    <w:rsid w:val="001E0460"/>
    <w:rsid w:val="001E1A47"/>
    <w:rsid w:val="001E1ECF"/>
    <w:rsid w:val="001E4914"/>
    <w:rsid w:val="001E6234"/>
    <w:rsid w:val="001E64D2"/>
    <w:rsid w:val="001E6608"/>
    <w:rsid w:val="001E70B3"/>
    <w:rsid w:val="001F0D80"/>
    <w:rsid w:val="00201438"/>
    <w:rsid w:val="00202744"/>
    <w:rsid w:val="00212D28"/>
    <w:rsid w:val="00213633"/>
    <w:rsid w:val="002148AA"/>
    <w:rsid w:val="002216E0"/>
    <w:rsid w:val="00223CFD"/>
    <w:rsid w:val="0023380B"/>
    <w:rsid w:val="0023658F"/>
    <w:rsid w:val="00236A17"/>
    <w:rsid w:val="00241C09"/>
    <w:rsid w:val="00243061"/>
    <w:rsid w:val="002449F3"/>
    <w:rsid w:val="002555CD"/>
    <w:rsid w:val="002572C3"/>
    <w:rsid w:val="00257A05"/>
    <w:rsid w:val="00262733"/>
    <w:rsid w:val="00262FD0"/>
    <w:rsid w:val="0026446B"/>
    <w:rsid w:val="00270C0D"/>
    <w:rsid w:val="00273443"/>
    <w:rsid w:val="0027692A"/>
    <w:rsid w:val="002822C5"/>
    <w:rsid w:val="00282819"/>
    <w:rsid w:val="00282DB9"/>
    <w:rsid w:val="00283B55"/>
    <w:rsid w:val="002842F8"/>
    <w:rsid w:val="0028497D"/>
    <w:rsid w:val="00285B3E"/>
    <w:rsid w:val="002878BB"/>
    <w:rsid w:val="002919DF"/>
    <w:rsid w:val="00293FFD"/>
    <w:rsid w:val="00294F6A"/>
    <w:rsid w:val="002A1EA3"/>
    <w:rsid w:val="002A572D"/>
    <w:rsid w:val="002A5D22"/>
    <w:rsid w:val="002A606A"/>
    <w:rsid w:val="002A638E"/>
    <w:rsid w:val="002A79A3"/>
    <w:rsid w:val="002B27BA"/>
    <w:rsid w:val="002B48E3"/>
    <w:rsid w:val="002B5324"/>
    <w:rsid w:val="002B6882"/>
    <w:rsid w:val="002B7515"/>
    <w:rsid w:val="002C108A"/>
    <w:rsid w:val="002C1B58"/>
    <w:rsid w:val="002C3689"/>
    <w:rsid w:val="002C4BAC"/>
    <w:rsid w:val="002C514D"/>
    <w:rsid w:val="002C59DD"/>
    <w:rsid w:val="002D0F23"/>
    <w:rsid w:val="002D44F0"/>
    <w:rsid w:val="002D4658"/>
    <w:rsid w:val="002D489C"/>
    <w:rsid w:val="002D4CA6"/>
    <w:rsid w:val="002D5511"/>
    <w:rsid w:val="002D6936"/>
    <w:rsid w:val="002E7DCB"/>
    <w:rsid w:val="002F0314"/>
    <w:rsid w:val="002F646A"/>
    <w:rsid w:val="00303B26"/>
    <w:rsid w:val="00305A83"/>
    <w:rsid w:val="00306237"/>
    <w:rsid w:val="003063FA"/>
    <w:rsid w:val="00307B21"/>
    <w:rsid w:val="00311EBB"/>
    <w:rsid w:val="00312F4D"/>
    <w:rsid w:val="00314764"/>
    <w:rsid w:val="00324A7B"/>
    <w:rsid w:val="00324B5F"/>
    <w:rsid w:val="00330307"/>
    <w:rsid w:val="0033382C"/>
    <w:rsid w:val="003353B6"/>
    <w:rsid w:val="003379A9"/>
    <w:rsid w:val="003403C8"/>
    <w:rsid w:val="00343D23"/>
    <w:rsid w:val="00344D36"/>
    <w:rsid w:val="0034551D"/>
    <w:rsid w:val="00345E1D"/>
    <w:rsid w:val="0035033F"/>
    <w:rsid w:val="003509E4"/>
    <w:rsid w:val="00353790"/>
    <w:rsid w:val="00356B7B"/>
    <w:rsid w:val="00361C3A"/>
    <w:rsid w:val="00362F92"/>
    <w:rsid w:val="00363E0D"/>
    <w:rsid w:val="0037097D"/>
    <w:rsid w:val="003734F1"/>
    <w:rsid w:val="00377344"/>
    <w:rsid w:val="00377B44"/>
    <w:rsid w:val="003805C3"/>
    <w:rsid w:val="0038066A"/>
    <w:rsid w:val="00382676"/>
    <w:rsid w:val="0038597C"/>
    <w:rsid w:val="00391E0D"/>
    <w:rsid w:val="0039245B"/>
    <w:rsid w:val="003931E4"/>
    <w:rsid w:val="003A0627"/>
    <w:rsid w:val="003B0ECB"/>
    <w:rsid w:val="003B38C1"/>
    <w:rsid w:val="003C11B6"/>
    <w:rsid w:val="003C142F"/>
    <w:rsid w:val="003C2009"/>
    <w:rsid w:val="003C40B3"/>
    <w:rsid w:val="003C43FE"/>
    <w:rsid w:val="003C4860"/>
    <w:rsid w:val="003D6540"/>
    <w:rsid w:val="003E0CD0"/>
    <w:rsid w:val="003E0E2B"/>
    <w:rsid w:val="003F5EEE"/>
    <w:rsid w:val="004038AB"/>
    <w:rsid w:val="004041BE"/>
    <w:rsid w:val="00410E84"/>
    <w:rsid w:val="00411BE0"/>
    <w:rsid w:val="00411EE1"/>
    <w:rsid w:val="00414B4C"/>
    <w:rsid w:val="00415B4A"/>
    <w:rsid w:val="00416E29"/>
    <w:rsid w:val="004200D1"/>
    <w:rsid w:val="0042051B"/>
    <w:rsid w:val="00424882"/>
    <w:rsid w:val="0042496F"/>
    <w:rsid w:val="004272A1"/>
    <w:rsid w:val="004309F5"/>
    <w:rsid w:val="0043349A"/>
    <w:rsid w:val="00434202"/>
    <w:rsid w:val="00441248"/>
    <w:rsid w:val="004416A3"/>
    <w:rsid w:val="00444FA1"/>
    <w:rsid w:val="0044594D"/>
    <w:rsid w:val="00446BBA"/>
    <w:rsid w:val="00446F93"/>
    <w:rsid w:val="00452AA9"/>
    <w:rsid w:val="00461B20"/>
    <w:rsid w:val="0047073D"/>
    <w:rsid w:val="00472CE1"/>
    <w:rsid w:val="004731E1"/>
    <w:rsid w:val="0047511C"/>
    <w:rsid w:val="004757A3"/>
    <w:rsid w:val="00477418"/>
    <w:rsid w:val="004823B8"/>
    <w:rsid w:val="004858D3"/>
    <w:rsid w:val="00485937"/>
    <w:rsid w:val="00491F7E"/>
    <w:rsid w:val="0049239C"/>
    <w:rsid w:val="00493D6D"/>
    <w:rsid w:val="004969D2"/>
    <w:rsid w:val="004A08DD"/>
    <w:rsid w:val="004A3F5F"/>
    <w:rsid w:val="004A5CB0"/>
    <w:rsid w:val="004A655F"/>
    <w:rsid w:val="004B0DB9"/>
    <w:rsid w:val="004B13D6"/>
    <w:rsid w:val="004B22A8"/>
    <w:rsid w:val="004B6ECD"/>
    <w:rsid w:val="004D0512"/>
    <w:rsid w:val="004D5322"/>
    <w:rsid w:val="004D6800"/>
    <w:rsid w:val="004E2575"/>
    <w:rsid w:val="004E36F6"/>
    <w:rsid w:val="004E5E2A"/>
    <w:rsid w:val="004F7163"/>
    <w:rsid w:val="00502CD1"/>
    <w:rsid w:val="00505FA8"/>
    <w:rsid w:val="0051338B"/>
    <w:rsid w:val="00516546"/>
    <w:rsid w:val="00517016"/>
    <w:rsid w:val="005170EB"/>
    <w:rsid w:val="00520A8B"/>
    <w:rsid w:val="00521B35"/>
    <w:rsid w:val="0052435F"/>
    <w:rsid w:val="00533B3A"/>
    <w:rsid w:val="005357E9"/>
    <w:rsid w:val="0053626B"/>
    <w:rsid w:val="005371CC"/>
    <w:rsid w:val="005373BC"/>
    <w:rsid w:val="00540725"/>
    <w:rsid w:val="00550AA2"/>
    <w:rsid w:val="0055619A"/>
    <w:rsid w:val="00565E73"/>
    <w:rsid w:val="00567E2A"/>
    <w:rsid w:val="00574060"/>
    <w:rsid w:val="0057448B"/>
    <w:rsid w:val="00584102"/>
    <w:rsid w:val="00586AB1"/>
    <w:rsid w:val="0059010F"/>
    <w:rsid w:val="005918A8"/>
    <w:rsid w:val="00591E30"/>
    <w:rsid w:val="00592CFE"/>
    <w:rsid w:val="005940E9"/>
    <w:rsid w:val="00594B58"/>
    <w:rsid w:val="00595A5E"/>
    <w:rsid w:val="00596E93"/>
    <w:rsid w:val="005A1B3E"/>
    <w:rsid w:val="005A24DE"/>
    <w:rsid w:val="005B179B"/>
    <w:rsid w:val="005B25A9"/>
    <w:rsid w:val="005B4AA6"/>
    <w:rsid w:val="005B4D4E"/>
    <w:rsid w:val="005B6D00"/>
    <w:rsid w:val="005C0293"/>
    <w:rsid w:val="005C1065"/>
    <w:rsid w:val="005D3656"/>
    <w:rsid w:val="005D4287"/>
    <w:rsid w:val="005D5265"/>
    <w:rsid w:val="005D767C"/>
    <w:rsid w:val="005E3748"/>
    <w:rsid w:val="005E384C"/>
    <w:rsid w:val="005E4E19"/>
    <w:rsid w:val="005E699A"/>
    <w:rsid w:val="005F2AEF"/>
    <w:rsid w:val="005F36CF"/>
    <w:rsid w:val="005F3D65"/>
    <w:rsid w:val="005F4F32"/>
    <w:rsid w:val="00603C81"/>
    <w:rsid w:val="006144CA"/>
    <w:rsid w:val="00617066"/>
    <w:rsid w:val="00617C9D"/>
    <w:rsid w:val="006209A9"/>
    <w:rsid w:val="00621E34"/>
    <w:rsid w:val="00622866"/>
    <w:rsid w:val="006300B2"/>
    <w:rsid w:val="00630C5B"/>
    <w:rsid w:val="00630DB0"/>
    <w:rsid w:val="006314F5"/>
    <w:rsid w:val="0063478B"/>
    <w:rsid w:val="00636E4B"/>
    <w:rsid w:val="00643A35"/>
    <w:rsid w:val="006511B4"/>
    <w:rsid w:val="006536F4"/>
    <w:rsid w:val="00655358"/>
    <w:rsid w:val="006566BF"/>
    <w:rsid w:val="006571D4"/>
    <w:rsid w:val="00657E26"/>
    <w:rsid w:val="0066464C"/>
    <w:rsid w:val="00664CA4"/>
    <w:rsid w:val="006655A2"/>
    <w:rsid w:val="00671008"/>
    <w:rsid w:val="00672FD1"/>
    <w:rsid w:val="00673074"/>
    <w:rsid w:val="00676097"/>
    <w:rsid w:val="0068096D"/>
    <w:rsid w:val="00683559"/>
    <w:rsid w:val="00684EAF"/>
    <w:rsid w:val="00686F82"/>
    <w:rsid w:val="00695284"/>
    <w:rsid w:val="00695E15"/>
    <w:rsid w:val="00697CB1"/>
    <w:rsid w:val="006A15CD"/>
    <w:rsid w:val="006A3277"/>
    <w:rsid w:val="006A3A2B"/>
    <w:rsid w:val="006A69DD"/>
    <w:rsid w:val="006A7207"/>
    <w:rsid w:val="006B20FE"/>
    <w:rsid w:val="006B682A"/>
    <w:rsid w:val="006C0DF2"/>
    <w:rsid w:val="006C1094"/>
    <w:rsid w:val="006C33AA"/>
    <w:rsid w:val="006C3761"/>
    <w:rsid w:val="006C455A"/>
    <w:rsid w:val="006C57F9"/>
    <w:rsid w:val="006D2DF7"/>
    <w:rsid w:val="006E7B64"/>
    <w:rsid w:val="006F07BC"/>
    <w:rsid w:val="006F0AE3"/>
    <w:rsid w:val="006F1AE3"/>
    <w:rsid w:val="006F1BB0"/>
    <w:rsid w:val="007019A7"/>
    <w:rsid w:val="007101A4"/>
    <w:rsid w:val="007101AE"/>
    <w:rsid w:val="00715B42"/>
    <w:rsid w:val="00715CE2"/>
    <w:rsid w:val="00715EEA"/>
    <w:rsid w:val="00716128"/>
    <w:rsid w:val="007167EB"/>
    <w:rsid w:val="00721CC3"/>
    <w:rsid w:val="007236B4"/>
    <w:rsid w:val="0074509C"/>
    <w:rsid w:val="00754212"/>
    <w:rsid w:val="0076400E"/>
    <w:rsid w:val="0076458B"/>
    <w:rsid w:val="00764B08"/>
    <w:rsid w:val="007652E7"/>
    <w:rsid w:val="00771057"/>
    <w:rsid w:val="00771CEB"/>
    <w:rsid w:val="007741B1"/>
    <w:rsid w:val="00774DBE"/>
    <w:rsid w:val="00775201"/>
    <w:rsid w:val="00776F27"/>
    <w:rsid w:val="0077779A"/>
    <w:rsid w:val="007822AC"/>
    <w:rsid w:val="00783F99"/>
    <w:rsid w:val="00784C00"/>
    <w:rsid w:val="00785068"/>
    <w:rsid w:val="00787E20"/>
    <w:rsid w:val="0079291E"/>
    <w:rsid w:val="00794EE0"/>
    <w:rsid w:val="007A0819"/>
    <w:rsid w:val="007B025B"/>
    <w:rsid w:val="007B0C1C"/>
    <w:rsid w:val="007B72D6"/>
    <w:rsid w:val="007C0CA9"/>
    <w:rsid w:val="007C1909"/>
    <w:rsid w:val="007C26C5"/>
    <w:rsid w:val="007C4278"/>
    <w:rsid w:val="007C4532"/>
    <w:rsid w:val="007C7F6C"/>
    <w:rsid w:val="007D0B5C"/>
    <w:rsid w:val="007D0F1E"/>
    <w:rsid w:val="007D1CD4"/>
    <w:rsid w:val="007D29CB"/>
    <w:rsid w:val="007D3ED7"/>
    <w:rsid w:val="007D49E7"/>
    <w:rsid w:val="007D5446"/>
    <w:rsid w:val="007D7C08"/>
    <w:rsid w:val="007E39F5"/>
    <w:rsid w:val="007F2822"/>
    <w:rsid w:val="0080510A"/>
    <w:rsid w:val="008077C5"/>
    <w:rsid w:val="00807EC8"/>
    <w:rsid w:val="008141E0"/>
    <w:rsid w:val="00816E43"/>
    <w:rsid w:val="00831EB9"/>
    <w:rsid w:val="00832984"/>
    <w:rsid w:val="008333EB"/>
    <w:rsid w:val="00834E0E"/>
    <w:rsid w:val="00841967"/>
    <w:rsid w:val="00843BB8"/>
    <w:rsid w:val="008456DF"/>
    <w:rsid w:val="008543A9"/>
    <w:rsid w:val="00862B64"/>
    <w:rsid w:val="00863412"/>
    <w:rsid w:val="00867824"/>
    <w:rsid w:val="00871230"/>
    <w:rsid w:val="00871DAF"/>
    <w:rsid w:val="00873ADC"/>
    <w:rsid w:val="00876210"/>
    <w:rsid w:val="008831A4"/>
    <w:rsid w:val="0088402D"/>
    <w:rsid w:val="00886773"/>
    <w:rsid w:val="00894CF2"/>
    <w:rsid w:val="008976B5"/>
    <w:rsid w:val="008A22FB"/>
    <w:rsid w:val="008B0278"/>
    <w:rsid w:val="008B038F"/>
    <w:rsid w:val="008B11AE"/>
    <w:rsid w:val="008B17F2"/>
    <w:rsid w:val="008B5805"/>
    <w:rsid w:val="008C026D"/>
    <w:rsid w:val="008C0BC8"/>
    <w:rsid w:val="008C1098"/>
    <w:rsid w:val="008C178A"/>
    <w:rsid w:val="008C1A50"/>
    <w:rsid w:val="008C2CD1"/>
    <w:rsid w:val="008C320E"/>
    <w:rsid w:val="008C35E1"/>
    <w:rsid w:val="008D4764"/>
    <w:rsid w:val="008D5644"/>
    <w:rsid w:val="008D7F50"/>
    <w:rsid w:val="008E03E0"/>
    <w:rsid w:val="00902D69"/>
    <w:rsid w:val="00904EF6"/>
    <w:rsid w:val="009074A2"/>
    <w:rsid w:val="00910470"/>
    <w:rsid w:val="009109CD"/>
    <w:rsid w:val="00910C6E"/>
    <w:rsid w:val="009111EA"/>
    <w:rsid w:val="00912CB7"/>
    <w:rsid w:val="00913822"/>
    <w:rsid w:val="0091426B"/>
    <w:rsid w:val="0091613C"/>
    <w:rsid w:val="009176DA"/>
    <w:rsid w:val="00920AD9"/>
    <w:rsid w:val="0092498E"/>
    <w:rsid w:val="009267B5"/>
    <w:rsid w:val="00933B55"/>
    <w:rsid w:val="00933E19"/>
    <w:rsid w:val="009351BB"/>
    <w:rsid w:val="00935EA3"/>
    <w:rsid w:val="00942EBF"/>
    <w:rsid w:val="00944B23"/>
    <w:rsid w:val="0094747D"/>
    <w:rsid w:val="0095033C"/>
    <w:rsid w:val="00951931"/>
    <w:rsid w:val="00952E8C"/>
    <w:rsid w:val="00956DAA"/>
    <w:rsid w:val="0096211C"/>
    <w:rsid w:val="009625B4"/>
    <w:rsid w:val="00963934"/>
    <w:rsid w:val="00963FD7"/>
    <w:rsid w:val="00964514"/>
    <w:rsid w:val="00964729"/>
    <w:rsid w:val="00973652"/>
    <w:rsid w:val="009743A9"/>
    <w:rsid w:val="00983516"/>
    <w:rsid w:val="00983E1D"/>
    <w:rsid w:val="00984D10"/>
    <w:rsid w:val="00987515"/>
    <w:rsid w:val="00990025"/>
    <w:rsid w:val="00993379"/>
    <w:rsid w:val="009941F2"/>
    <w:rsid w:val="009957F4"/>
    <w:rsid w:val="00996E19"/>
    <w:rsid w:val="00997F01"/>
    <w:rsid w:val="009A0C14"/>
    <w:rsid w:val="009A3E7F"/>
    <w:rsid w:val="009A416E"/>
    <w:rsid w:val="009A6292"/>
    <w:rsid w:val="009B6DCA"/>
    <w:rsid w:val="009C3B6B"/>
    <w:rsid w:val="009C51E1"/>
    <w:rsid w:val="009C72A0"/>
    <w:rsid w:val="009D01B7"/>
    <w:rsid w:val="009D01B8"/>
    <w:rsid w:val="009D267C"/>
    <w:rsid w:val="009D30C8"/>
    <w:rsid w:val="009D330F"/>
    <w:rsid w:val="009D708B"/>
    <w:rsid w:val="009D74F9"/>
    <w:rsid w:val="009E0878"/>
    <w:rsid w:val="009E13E3"/>
    <w:rsid w:val="009E3B03"/>
    <w:rsid w:val="009E5E9D"/>
    <w:rsid w:val="009F1F24"/>
    <w:rsid w:val="009F259C"/>
    <w:rsid w:val="009F79E3"/>
    <w:rsid w:val="00A02303"/>
    <w:rsid w:val="00A03DF6"/>
    <w:rsid w:val="00A06831"/>
    <w:rsid w:val="00A06D85"/>
    <w:rsid w:val="00A16561"/>
    <w:rsid w:val="00A24756"/>
    <w:rsid w:val="00A27DBA"/>
    <w:rsid w:val="00A3732E"/>
    <w:rsid w:val="00A409F4"/>
    <w:rsid w:val="00A41B89"/>
    <w:rsid w:val="00A45509"/>
    <w:rsid w:val="00A46362"/>
    <w:rsid w:val="00A535C2"/>
    <w:rsid w:val="00A545B8"/>
    <w:rsid w:val="00A5530D"/>
    <w:rsid w:val="00A577C2"/>
    <w:rsid w:val="00A61EA9"/>
    <w:rsid w:val="00A6401B"/>
    <w:rsid w:val="00A729F0"/>
    <w:rsid w:val="00A842C2"/>
    <w:rsid w:val="00A908BA"/>
    <w:rsid w:val="00A9173E"/>
    <w:rsid w:val="00A96D30"/>
    <w:rsid w:val="00AA3E27"/>
    <w:rsid w:val="00AB01A8"/>
    <w:rsid w:val="00AB0272"/>
    <w:rsid w:val="00AB4B70"/>
    <w:rsid w:val="00AB500B"/>
    <w:rsid w:val="00AC0006"/>
    <w:rsid w:val="00AC163A"/>
    <w:rsid w:val="00AD4240"/>
    <w:rsid w:val="00AD4B10"/>
    <w:rsid w:val="00AE1BE8"/>
    <w:rsid w:val="00AE33CA"/>
    <w:rsid w:val="00AE5B0A"/>
    <w:rsid w:val="00AE77F7"/>
    <w:rsid w:val="00AF0667"/>
    <w:rsid w:val="00B04CC7"/>
    <w:rsid w:val="00B07C5D"/>
    <w:rsid w:val="00B11397"/>
    <w:rsid w:val="00B117BD"/>
    <w:rsid w:val="00B13B29"/>
    <w:rsid w:val="00B303E3"/>
    <w:rsid w:val="00B33F83"/>
    <w:rsid w:val="00B35F3A"/>
    <w:rsid w:val="00B36358"/>
    <w:rsid w:val="00B47F57"/>
    <w:rsid w:val="00B50AA5"/>
    <w:rsid w:val="00B548C6"/>
    <w:rsid w:val="00B54F59"/>
    <w:rsid w:val="00B60300"/>
    <w:rsid w:val="00B6422E"/>
    <w:rsid w:val="00B64B2B"/>
    <w:rsid w:val="00B71355"/>
    <w:rsid w:val="00B81122"/>
    <w:rsid w:val="00B8148D"/>
    <w:rsid w:val="00B85ACA"/>
    <w:rsid w:val="00B90D90"/>
    <w:rsid w:val="00B937FF"/>
    <w:rsid w:val="00B97B65"/>
    <w:rsid w:val="00BA1A83"/>
    <w:rsid w:val="00BB38B4"/>
    <w:rsid w:val="00BB63A2"/>
    <w:rsid w:val="00BC504C"/>
    <w:rsid w:val="00BC75C5"/>
    <w:rsid w:val="00BD0110"/>
    <w:rsid w:val="00BD28BA"/>
    <w:rsid w:val="00BD406B"/>
    <w:rsid w:val="00BD4C12"/>
    <w:rsid w:val="00BD7480"/>
    <w:rsid w:val="00BE0559"/>
    <w:rsid w:val="00BE6996"/>
    <w:rsid w:val="00BF2903"/>
    <w:rsid w:val="00BF3EE9"/>
    <w:rsid w:val="00C016F4"/>
    <w:rsid w:val="00C0249A"/>
    <w:rsid w:val="00C03E7F"/>
    <w:rsid w:val="00C11439"/>
    <w:rsid w:val="00C169B4"/>
    <w:rsid w:val="00C2079E"/>
    <w:rsid w:val="00C20EA4"/>
    <w:rsid w:val="00C227E5"/>
    <w:rsid w:val="00C25074"/>
    <w:rsid w:val="00C27D23"/>
    <w:rsid w:val="00C34856"/>
    <w:rsid w:val="00C37A64"/>
    <w:rsid w:val="00C44A6F"/>
    <w:rsid w:val="00C467BD"/>
    <w:rsid w:val="00C53CBA"/>
    <w:rsid w:val="00C5484E"/>
    <w:rsid w:val="00C560A6"/>
    <w:rsid w:val="00C56EAD"/>
    <w:rsid w:val="00C572F0"/>
    <w:rsid w:val="00C57BAC"/>
    <w:rsid w:val="00C6043A"/>
    <w:rsid w:val="00C6122E"/>
    <w:rsid w:val="00C70BF2"/>
    <w:rsid w:val="00C728D2"/>
    <w:rsid w:val="00C750A1"/>
    <w:rsid w:val="00C75D1D"/>
    <w:rsid w:val="00C859D7"/>
    <w:rsid w:val="00C92C2F"/>
    <w:rsid w:val="00C97BFF"/>
    <w:rsid w:val="00CA097F"/>
    <w:rsid w:val="00CA23B0"/>
    <w:rsid w:val="00CA6C18"/>
    <w:rsid w:val="00CB7414"/>
    <w:rsid w:val="00CC0266"/>
    <w:rsid w:val="00CC0973"/>
    <w:rsid w:val="00CC16E8"/>
    <w:rsid w:val="00CC53F5"/>
    <w:rsid w:val="00CC5700"/>
    <w:rsid w:val="00CC6F98"/>
    <w:rsid w:val="00CC7A9E"/>
    <w:rsid w:val="00CD1A37"/>
    <w:rsid w:val="00CD58BB"/>
    <w:rsid w:val="00CD65CC"/>
    <w:rsid w:val="00CE41E2"/>
    <w:rsid w:val="00CE450B"/>
    <w:rsid w:val="00CE62BB"/>
    <w:rsid w:val="00CF004A"/>
    <w:rsid w:val="00CF278C"/>
    <w:rsid w:val="00CF4163"/>
    <w:rsid w:val="00CF64E5"/>
    <w:rsid w:val="00D00116"/>
    <w:rsid w:val="00D011F6"/>
    <w:rsid w:val="00D02263"/>
    <w:rsid w:val="00D03108"/>
    <w:rsid w:val="00D03934"/>
    <w:rsid w:val="00D04530"/>
    <w:rsid w:val="00D12D41"/>
    <w:rsid w:val="00D140C1"/>
    <w:rsid w:val="00D1455F"/>
    <w:rsid w:val="00D213AD"/>
    <w:rsid w:val="00D21CB6"/>
    <w:rsid w:val="00D21FD3"/>
    <w:rsid w:val="00D23AD8"/>
    <w:rsid w:val="00D24F63"/>
    <w:rsid w:val="00D268EC"/>
    <w:rsid w:val="00D27E57"/>
    <w:rsid w:val="00D335E7"/>
    <w:rsid w:val="00D36F56"/>
    <w:rsid w:val="00D418DB"/>
    <w:rsid w:val="00D41DA0"/>
    <w:rsid w:val="00D44659"/>
    <w:rsid w:val="00D44BE2"/>
    <w:rsid w:val="00D504BF"/>
    <w:rsid w:val="00D53404"/>
    <w:rsid w:val="00D54920"/>
    <w:rsid w:val="00D6283F"/>
    <w:rsid w:val="00D62BEB"/>
    <w:rsid w:val="00D65604"/>
    <w:rsid w:val="00D71E66"/>
    <w:rsid w:val="00D735BE"/>
    <w:rsid w:val="00D8052C"/>
    <w:rsid w:val="00D846B6"/>
    <w:rsid w:val="00D8577C"/>
    <w:rsid w:val="00D90A56"/>
    <w:rsid w:val="00D975DB"/>
    <w:rsid w:val="00DA0965"/>
    <w:rsid w:val="00DA21A9"/>
    <w:rsid w:val="00DA28FE"/>
    <w:rsid w:val="00DA5ACB"/>
    <w:rsid w:val="00DB483E"/>
    <w:rsid w:val="00DB5DF4"/>
    <w:rsid w:val="00DC2956"/>
    <w:rsid w:val="00DC310D"/>
    <w:rsid w:val="00DD0DF9"/>
    <w:rsid w:val="00DD17F9"/>
    <w:rsid w:val="00DD255E"/>
    <w:rsid w:val="00DD37AB"/>
    <w:rsid w:val="00DD3931"/>
    <w:rsid w:val="00DD4B79"/>
    <w:rsid w:val="00DD5C58"/>
    <w:rsid w:val="00DD6B04"/>
    <w:rsid w:val="00DD7947"/>
    <w:rsid w:val="00DD7C88"/>
    <w:rsid w:val="00DE2D1A"/>
    <w:rsid w:val="00DE4B30"/>
    <w:rsid w:val="00DE68A9"/>
    <w:rsid w:val="00DF1FDB"/>
    <w:rsid w:val="00DF27EC"/>
    <w:rsid w:val="00DF432A"/>
    <w:rsid w:val="00DF4C17"/>
    <w:rsid w:val="00DF6290"/>
    <w:rsid w:val="00DF6340"/>
    <w:rsid w:val="00E00232"/>
    <w:rsid w:val="00E02DEA"/>
    <w:rsid w:val="00E04760"/>
    <w:rsid w:val="00E0625C"/>
    <w:rsid w:val="00E10F49"/>
    <w:rsid w:val="00E13E83"/>
    <w:rsid w:val="00E17801"/>
    <w:rsid w:val="00E2360D"/>
    <w:rsid w:val="00E27414"/>
    <w:rsid w:val="00E276BA"/>
    <w:rsid w:val="00E277B4"/>
    <w:rsid w:val="00E32D56"/>
    <w:rsid w:val="00E34C91"/>
    <w:rsid w:val="00E3786E"/>
    <w:rsid w:val="00E412BD"/>
    <w:rsid w:val="00E44035"/>
    <w:rsid w:val="00E4723F"/>
    <w:rsid w:val="00E501B8"/>
    <w:rsid w:val="00E50F5B"/>
    <w:rsid w:val="00E51F1F"/>
    <w:rsid w:val="00E53747"/>
    <w:rsid w:val="00E60A19"/>
    <w:rsid w:val="00E62CEF"/>
    <w:rsid w:val="00E62F4A"/>
    <w:rsid w:val="00E663E4"/>
    <w:rsid w:val="00E745B4"/>
    <w:rsid w:val="00E824FE"/>
    <w:rsid w:val="00E83F73"/>
    <w:rsid w:val="00E86352"/>
    <w:rsid w:val="00E86C58"/>
    <w:rsid w:val="00E9068F"/>
    <w:rsid w:val="00E91EC6"/>
    <w:rsid w:val="00E93030"/>
    <w:rsid w:val="00EB0475"/>
    <w:rsid w:val="00EB0490"/>
    <w:rsid w:val="00EB228D"/>
    <w:rsid w:val="00EC2099"/>
    <w:rsid w:val="00EC7D41"/>
    <w:rsid w:val="00ED0641"/>
    <w:rsid w:val="00ED11FD"/>
    <w:rsid w:val="00ED1BD5"/>
    <w:rsid w:val="00ED1D32"/>
    <w:rsid w:val="00ED23DF"/>
    <w:rsid w:val="00ED2662"/>
    <w:rsid w:val="00ED55D7"/>
    <w:rsid w:val="00EE36FA"/>
    <w:rsid w:val="00EE47F9"/>
    <w:rsid w:val="00EE496A"/>
    <w:rsid w:val="00EE517B"/>
    <w:rsid w:val="00EF11C4"/>
    <w:rsid w:val="00EF3906"/>
    <w:rsid w:val="00EF7AB7"/>
    <w:rsid w:val="00F00E2E"/>
    <w:rsid w:val="00F01339"/>
    <w:rsid w:val="00F05A15"/>
    <w:rsid w:val="00F07D77"/>
    <w:rsid w:val="00F11276"/>
    <w:rsid w:val="00F11573"/>
    <w:rsid w:val="00F14253"/>
    <w:rsid w:val="00F15681"/>
    <w:rsid w:val="00F224CC"/>
    <w:rsid w:val="00F24644"/>
    <w:rsid w:val="00F26113"/>
    <w:rsid w:val="00F26D87"/>
    <w:rsid w:val="00F32337"/>
    <w:rsid w:val="00F332A5"/>
    <w:rsid w:val="00F33A1E"/>
    <w:rsid w:val="00F40507"/>
    <w:rsid w:val="00F44E23"/>
    <w:rsid w:val="00F46D1A"/>
    <w:rsid w:val="00F514EC"/>
    <w:rsid w:val="00F51D7A"/>
    <w:rsid w:val="00F53B8B"/>
    <w:rsid w:val="00F53CFF"/>
    <w:rsid w:val="00F555C2"/>
    <w:rsid w:val="00F600E1"/>
    <w:rsid w:val="00F610B4"/>
    <w:rsid w:val="00F6196B"/>
    <w:rsid w:val="00F62E93"/>
    <w:rsid w:val="00F63163"/>
    <w:rsid w:val="00F643D9"/>
    <w:rsid w:val="00F676F8"/>
    <w:rsid w:val="00F824AF"/>
    <w:rsid w:val="00F826C1"/>
    <w:rsid w:val="00F846AE"/>
    <w:rsid w:val="00F876EF"/>
    <w:rsid w:val="00F9284F"/>
    <w:rsid w:val="00F93043"/>
    <w:rsid w:val="00F934CA"/>
    <w:rsid w:val="00F957B0"/>
    <w:rsid w:val="00F96FB9"/>
    <w:rsid w:val="00FA2605"/>
    <w:rsid w:val="00FA32EC"/>
    <w:rsid w:val="00FA454C"/>
    <w:rsid w:val="00FB23B7"/>
    <w:rsid w:val="00FC04EC"/>
    <w:rsid w:val="00FC0CAB"/>
    <w:rsid w:val="00FC3C99"/>
    <w:rsid w:val="00FC474C"/>
    <w:rsid w:val="00FC6FB1"/>
    <w:rsid w:val="00FC7E15"/>
    <w:rsid w:val="00FD0D8E"/>
    <w:rsid w:val="00FD20B2"/>
    <w:rsid w:val="00FD2281"/>
    <w:rsid w:val="00FD2D34"/>
    <w:rsid w:val="00FD7842"/>
    <w:rsid w:val="00FE1372"/>
    <w:rsid w:val="00FE2621"/>
    <w:rsid w:val="00FF5635"/>
    <w:rsid w:val="00FF7BC4"/>
    <w:rsid w:val="0116312F"/>
    <w:rsid w:val="028B7D1E"/>
    <w:rsid w:val="028D4EF1"/>
    <w:rsid w:val="02B349AE"/>
    <w:rsid w:val="031B2F3A"/>
    <w:rsid w:val="03373831"/>
    <w:rsid w:val="03694EBA"/>
    <w:rsid w:val="03DB240E"/>
    <w:rsid w:val="04C47C11"/>
    <w:rsid w:val="04CC1D57"/>
    <w:rsid w:val="051E6510"/>
    <w:rsid w:val="05883ED0"/>
    <w:rsid w:val="05BE1CD1"/>
    <w:rsid w:val="067264A4"/>
    <w:rsid w:val="068658DE"/>
    <w:rsid w:val="06FE7491"/>
    <w:rsid w:val="07874FAC"/>
    <w:rsid w:val="079E3662"/>
    <w:rsid w:val="07DB5B40"/>
    <w:rsid w:val="084E752E"/>
    <w:rsid w:val="08C86761"/>
    <w:rsid w:val="08D3624E"/>
    <w:rsid w:val="08DB154F"/>
    <w:rsid w:val="096D3B08"/>
    <w:rsid w:val="09B94F9F"/>
    <w:rsid w:val="09C32BB3"/>
    <w:rsid w:val="09FE2D33"/>
    <w:rsid w:val="0A480675"/>
    <w:rsid w:val="0A982E07"/>
    <w:rsid w:val="0AEA1189"/>
    <w:rsid w:val="0B48754E"/>
    <w:rsid w:val="0B4F54E7"/>
    <w:rsid w:val="0B720E7E"/>
    <w:rsid w:val="0C355451"/>
    <w:rsid w:val="0C6A2581"/>
    <w:rsid w:val="0C9727C1"/>
    <w:rsid w:val="0CAF0083"/>
    <w:rsid w:val="0CB5459B"/>
    <w:rsid w:val="0CB745AA"/>
    <w:rsid w:val="0CB95DFB"/>
    <w:rsid w:val="0D8B4CCC"/>
    <w:rsid w:val="0F386966"/>
    <w:rsid w:val="0F503CB0"/>
    <w:rsid w:val="100F3779"/>
    <w:rsid w:val="104D01F0"/>
    <w:rsid w:val="104E3AFC"/>
    <w:rsid w:val="10AC13BA"/>
    <w:rsid w:val="10D461E3"/>
    <w:rsid w:val="10DD651F"/>
    <w:rsid w:val="10E26ADB"/>
    <w:rsid w:val="10F863AD"/>
    <w:rsid w:val="11082D0A"/>
    <w:rsid w:val="11863220"/>
    <w:rsid w:val="125900B2"/>
    <w:rsid w:val="12767255"/>
    <w:rsid w:val="12DD0E20"/>
    <w:rsid w:val="12F00B6A"/>
    <w:rsid w:val="134E6759"/>
    <w:rsid w:val="13743CE5"/>
    <w:rsid w:val="139719D4"/>
    <w:rsid w:val="13E12562"/>
    <w:rsid w:val="14490B4A"/>
    <w:rsid w:val="147D08E1"/>
    <w:rsid w:val="14DB5123"/>
    <w:rsid w:val="14DD076A"/>
    <w:rsid w:val="15766853"/>
    <w:rsid w:val="159D4EEB"/>
    <w:rsid w:val="165A18B8"/>
    <w:rsid w:val="16704C38"/>
    <w:rsid w:val="170A7C0A"/>
    <w:rsid w:val="176B7367"/>
    <w:rsid w:val="17C77DD1"/>
    <w:rsid w:val="185B1342"/>
    <w:rsid w:val="192E7C4A"/>
    <w:rsid w:val="19522E97"/>
    <w:rsid w:val="19823C92"/>
    <w:rsid w:val="19930475"/>
    <w:rsid w:val="199944A6"/>
    <w:rsid w:val="1A3B7C0B"/>
    <w:rsid w:val="1A710F7F"/>
    <w:rsid w:val="1A772618"/>
    <w:rsid w:val="1A79731F"/>
    <w:rsid w:val="1C0F4CED"/>
    <w:rsid w:val="1C5A307C"/>
    <w:rsid w:val="1C5C20A5"/>
    <w:rsid w:val="1C6A6C95"/>
    <w:rsid w:val="1C7C3099"/>
    <w:rsid w:val="1D896B23"/>
    <w:rsid w:val="1DCA10D2"/>
    <w:rsid w:val="1DED3012"/>
    <w:rsid w:val="1E494B2B"/>
    <w:rsid w:val="1E8E65A3"/>
    <w:rsid w:val="1EAA4A5F"/>
    <w:rsid w:val="1EE00AE9"/>
    <w:rsid w:val="1F5953CA"/>
    <w:rsid w:val="1F6B2440"/>
    <w:rsid w:val="204C0DF9"/>
    <w:rsid w:val="20FA0E09"/>
    <w:rsid w:val="21392BCF"/>
    <w:rsid w:val="213F032B"/>
    <w:rsid w:val="2173382E"/>
    <w:rsid w:val="220D77DF"/>
    <w:rsid w:val="22357A69"/>
    <w:rsid w:val="224376A4"/>
    <w:rsid w:val="22DE5BCF"/>
    <w:rsid w:val="237C6410"/>
    <w:rsid w:val="239B0192"/>
    <w:rsid w:val="23C831B5"/>
    <w:rsid w:val="246B5AFD"/>
    <w:rsid w:val="24F259CD"/>
    <w:rsid w:val="253D4AB1"/>
    <w:rsid w:val="256C4A18"/>
    <w:rsid w:val="258A3353"/>
    <w:rsid w:val="25DB1A2A"/>
    <w:rsid w:val="25DC7BF4"/>
    <w:rsid w:val="262D5919"/>
    <w:rsid w:val="265E2CFF"/>
    <w:rsid w:val="267F47CD"/>
    <w:rsid w:val="26A0029E"/>
    <w:rsid w:val="26F063E4"/>
    <w:rsid w:val="271811E3"/>
    <w:rsid w:val="273911D2"/>
    <w:rsid w:val="27767CED"/>
    <w:rsid w:val="28414F62"/>
    <w:rsid w:val="29036758"/>
    <w:rsid w:val="295B1778"/>
    <w:rsid w:val="296A229B"/>
    <w:rsid w:val="29DD3F3B"/>
    <w:rsid w:val="29FC4E19"/>
    <w:rsid w:val="2AD13BB9"/>
    <w:rsid w:val="2AE31F6B"/>
    <w:rsid w:val="2B1A072A"/>
    <w:rsid w:val="2B860307"/>
    <w:rsid w:val="2C302E82"/>
    <w:rsid w:val="2C4C6227"/>
    <w:rsid w:val="2C8903AA"/>
    <w:rsid w:val="2C92725E"/>
    <w:rsid w:val="2D9509C5"/>
    <w:rsid w:val="2DA56EDC"/>
    <w:rsid w:val="2DB66CAA"/>
    <w:rsid w:val="2DF6381D"/>
    <w:rsid w:val="2E5C5D76"/>
    <w:rsid w:val="2EA400F0"/>
    <w:rsid w:val="2F283EAA"/>
    <w:rsid w:val="300620AE"/>
    <w:rsid w:val="30186755"/>
    <w:rsid w:val="30803872"/>
    <w:rsid w:val="308D68F9"/>
    <w:rsid w:val="308F555B"/>
    <w:rsid w:val="30BE33DD"/>
    <w:rsid w:val="31333521"/>
    <w:rsid w:val="31704D98"/>
    <w:rsid w:val="31EB7726"/>
    <w:rsid w:val="32204A65"/>
    <w:rsid w:val="32602571"/>
    <w:rsid w:val="326571C3"/>
    <w:rsid w:val="32C75788"/>
    <w:rsid w:val="3328760B"/>
    <w:rsid w:val="335E1A00"/>
    <w:rsid w:val="338A1331"/>
    <w:rsid w:val="34131B27"/>
    <w:rsid w:val="34317D51"/>
    <w:rsid w:val="34A0099D"/>
    <w:rsid w:val="34F11CC9"/>
    <w:rsid w:val="35223149"/>
    <w:rsid w:val="352B3B11"/>
    <w:rsid w:val="35582684"/>
    <w:rsid w:val="360729EB"/>
    <w:rsid w:val="36107446"/>
    <w:rsid w:val="368268CC"/>
    <w:rsid w:val="36BE50F4"/>
    <w:rsid w:val="3757357E"/>
    <w:rsid w:val="376637C1"/>
    <w:rsid w:val="377C635C"/>
    <w:rsid w:val="377E111B"/>
    <w:rsid w:val="37DC7F27"/>
    <w:rsid w:val="38017F3D"/>
    <w:rsid w:val="38887767"/>
    <w:rsid w:val="38BD1536"/>
    <w:rsid w:val="38F7130C"/>
    <w:rsid w:val="39E121A9"/>
    <w:rsid w:val="3A3E16F0"/>
    <w:rsid w:val="3A6C3969"/>
    <w:rsid w:val="3AD849D6"/>
    <w:rsid w:val="3AE93740"/>
    <w:rsid w:val="3B084382"/>
    <w:rsid w:val="3B1C4698"/>
    <w:rsid w:val="3B443337"/>
    <w:rsid w:val="3B491430"/>
    <w:rsid w:val="3C157564"/>
    <w:rsid w:val="3CA64B4B"/>
    <w:rsid w:val="3CC73228"/>
    <w:rsid w:val="3D767995"/>
    <w:rsid w:val="3DEC0798"/>
    <w:rsid w:val="3E2A6F83"/>
    <w:rsid w:val="3E933A74"/>
    <w:rsid w:val="3E970704"/>
    <w:rsid w:val="3EAD3557"/>
    <w:rsid w:val="3EE70D49"/>
    <w:rsid w:val="3F367F1D"/>
    <w:rsid w:val="3FAE5E0A"/>
    <w:rsid w:val="3FB72CDE"/>
    <w:rsid w:val="401D4B37"/>
    <w:rsid w:val="4020215E"/>
    <w:rsid w:val="40216D28"/>
    <w:rsid w:val="404C422B"/>
    <w:rsid w:val="40591DA2"/>
    <w:rsid w:val="408353E4"/>
    <w:rsid w:val="408B24EB"/>
    <w:rsid w:val="409A5B44"/>
    <w:rsid w:val="411F48C6"/>
    <w:rsid w:val="41395799"/>
    <w:rsid w:val="413F3A8B"/>
    <w:rsid w:val="41562AF9"/>
    <w:rsid w:val="415E7BFF"/>
    <w:rsid w:val="4187685A"/>
    <w:rsid w:val="419636AD"/>
    <w:rsid w:val="41F710C2"/>
    <w:rsid w:val="430018A7"/>
    <w:rsid w:val="4323158A"/>
    <w:rsid w:val="433153B1"/>
    <w:rsid w:val="434D7F2B"/>
    <w:rsid w:val="43637AC9"/>
    <w:rsid w:val="43BF07E6"/>
    <w:rsid w:val="44552EFF"/>
    <w:rsid w:val="44685B9B"/>
    <w:rsid w:val="44A77F03"/>
    <w:rsid w:val="44B6565C"/>
    <w:rsid w:val="44C56E94"/>
    <w:rsid w:val="450B59A8"/>
    <w:rsid w:val="45105232"/>
    <w:rsid w:val="4577303D"/>
    <w:rsid w:val="45782A86"/>
    <w:rsid w:val="459C764B"/>
    <w:rsid w:val="45AB2395"/>
    <w:rsid w:val="45B8383B"/>
    <w:rsid w:val="45ED3300"/>
    <w:rsid w:val="46445615"/>
    <w:rsid w:val="4650199B"/>
    <w:rsid w:val="468B6205"/>
    <w:rsid w:val="47254679"/>
    <w:rsid w:val="476D64A6"/>
    <w:rsid w:val="47DB6D0F"/>
    <w:rsid w:val="48313978"/>
    <w:rsid w:val="485A1120"/>
    <w:rsid w:val="4876582E"/>
    <w:rsid w:val="487C2CFF"/>
    <w:rsid w:val="48CF3D82"/>
    <w:rsid w:val="4916269D"/>
    <w:rsid w:val="495C6651"/>
    <w:rsid w:val="499046CE"/>
    <w:rsid w:val="49B91DF3"/>
    <w:rsid w:val="4A3D3EB1"/>
    <w:rsid w:val="4A7924ED"/>
    <w:rsid w:val="4A7946EB"/>
    <w:rsid w:val="4AD4683C"/>
    <w:rsid w:val="4CA800DD"/>
    <w:rsid w:val="4CC4452E"/>
    <w:rsid w:val="4CE40049"/>
    <w:rsid w:val="4D2505C7"/>
    <w:rsid w:val="4D804ABF"/>
    <w:rsid w:val="4D992A7F"/>
    <w:rsid w:val="4E497FEB"/>
    <w:rsid w:val="4EA50C1B"/>
    <w:rsid w:val="4F177185"/>
    <w:rsid w:val="4F907A4A"/>
    <w:rsid w:val="4FDE2637"/>
    <w:rsid w:val="4FE416F1"/>
    <w:rsid w:val="4FE74F89"/>
    <w:rsid w:val="50093B17"/>
    <w:rsid w:val="50212289"/>
    <w:rsid w:val="50267B3A"/>
    <w:rsid w:val="504D156B"/>
    <w:rsid w:val="505F4DFA"/>
    <w:rsid w:val="50676E2E"/>
    <w:rsid w:val="50BC3801"/>
    <w:rsid w:val="50F60038"/>
    <w:rsid w:val="51257DF2"/>
    <w:rsid w:val="51542485"/>
    <w:rsid w:val="515D578F"/>
    <w:rsid w:val="51645798"/>
    <w:rsid w:val="5245712E"/>
    <w:rsid w:val="52622DE4"/>
    <w:rsid w:val="5298584E"/>
    <w:rsid w:val="52C415FA"/>
    <w:rsid w:val="52C5334E"/>
    <w:rsid w:val="531B1464"/>
    <w:rsid w:val="53513120"/>
    <w:rsid w:val="542B7554"/>
    <w:rsid w:val="542C1497"/>
    <w:rsid w:val="551C48C7"/>
    <w:rsid w:val="552C443B"/>
    <w:rsid w:val="559534D4"/>
    <w:rsid w:val="56116B96"/>
    <w:rsid w:val="562B5678"/>
    <w:rsid w:val="56C63E25"/>
    <w:rsid w:val="56FB0570"/>
    <w:rsid w:val="5712706A"/>
    <w:rsid w:val="57167427"/>
    <w:rsid w:val="573A23FB"/>
    <w:rsid w:val="579D0F0B"/>
    <w:rsid w:val="582403C7"/>
    <w:rsid w:val="585E0511"/>
    <w:rsid w:val="588903E7"/>
    <w:rsid w:val="58892FCD"/>
    <w:rsid w:val="58BB3295"/>
    <w:rsid w:val="591A0145"/>
    <w:rsid w:val="5959750C"/>
    <w:rsid w:val="597A6277"/>
    <w:rsid w:val="597A6A8E"/>
    <w:rsid w:val="599202A8"/>
    <w:rsid w:val="59C06909"/>
    <w:rsid w:val="59C95DA4"/>
    <w:rsid w:val="5A544481"/>
    <w:rsid w:val="5B133223"/>
    <w:rsid w:val="5B545FCC"/>
    <w:rsid w:val="5B6E20A4"/>
    <w:rsid w:val="5BB145B0"/>
    <w:rsid w:val="5BD279BE"/>
    <w:rsid w:val="5C0036B4"/>
    <w:rsid w:val="5CE02202"/>
    <w:rsid w:val="5D184CAE"/>
    <w:rsid w:val="5DF975A5"/>
    <w:rsid w:val="5E3873B6"/>
    <w:rsid w:val="5E5A37D0"/>
    <w:rsid w:val="5E806A4E"/>
    <w:rsid w:val="5EBF5CA9"/>
    <w:rsid w:val="5F666FDE"/>
    <w:rsid w:val="5F697EE8"/>
    <w:rsid w:val="5F7962FC"/>
    <w:rsid w:val="5FD9068B"/>
    <w:rsid w:val="600B6CE1"/>
    <w:rsid w:val="605B55DE"/>
    <w:rsid w:val="60880ADD"/>
    <w:rsid w:val="60AE1BB1"/>
    <w:rsid w:val="60EC4488"/>
    <w:rsid w:val="61A83AB2"/>
    <w:rsid w:val="61AA558E"/>
    <w:rsid w:val="622A707B"/>
    <w:rsid w:val="627750B4"/>
    <w:rsid w:val="62C31218"/>
    <w:rsid w:val="62EA2C49"/>
    <w:rsid w:val="62F51D1A"/>
    <w:rsid w:val="63964369"/>
    <w:rsid w:val="646020E8"/>
    <w:rsid w:val="64C37BF6"/>
    <w:rsid w:val="65DA169F"/>
    <w:rsid w:val="66925AD1"/>
    <w:rsid w:val="66CD6FA2"/>
    <w:rsid w:val="66DC6D4D"/>
    <w:rsid w:val="67506384"/>
    <w:rsid w:val="67D1553C"/>
    <w:rsid w:val="680C40C5"/>
    <w:rsid w:val="68437083"/>
    <w:rsid w:val="69096EC7"/>
    <w:rsid w:val="691035DC"/>
    <w:rsid w:val="69166546"/>
    <w:rsid w:val="69280027"/>
    <w:rsid w:val="69292FD5"/>
    <w:rsid w:val="69360704"/>
    <w:rsid w:val="69D87C9F"/>
    <w:rsid w:val="6A890D61"/>
    <w:rsid w:val="6AA046C3"/>
    <w:rsid w:val="6AC57A5F"/>
    <w:rsid w:val="6AE470BA"/>
    <w:rsid w:val="6BE51A82"/>
    <w:rsid w:val="6C1A3B08"/>
    <w:rsid w:val="6C4C04D0"/>
    <w:rsid w:val="6C9B6143"/>
    <w:rsid w:val="6CBD7D2C"/>
    <w:rsid w:val="6D0432EA"/>
    <w:rsid w:val="6D5739B5"/>
    <w:rsid w:val="6EE32069"/>
    <w:rsid w:val="6F0F331D"/>
    <w:rsid w:val="6F516A7E"/>
    <w:rsid w:val="6F5C1F03"/>
    <w:rsid w:val="6FA75B24"/>
    <w:rsid w:val="70364272"/>
    <w:rsid w:val="70743732"/>
    <w:rsid w:val="708B7ED4"/>
    <w:rsid w:val="70A629F4"/>
    <w:rsid w:val="70EF00B7"/>
    <w:rsid w:val="714E0847"/>
    <w:rsid w:val="716A6E37"/>
    <w:rsid w:val="72B212CB"/>
    <w:rsid w:val="72C806F4"/>
    <w:rsid w:val="72E5790C"/>
    <w:rsid w:val="72F43AE3"/>
    <w:rsid w:val="730442DE"/>
    <w:rsid w:val="732A076C"/>
    <w:rsid w:val="733D60BC"/>
    <w:rsid w:val="739B64B9"/>
    <w:rsid w:val="741D4669"/>
    <w:rsid w:val="744321B9"/>
    <w:rsid w:val="744822F2"/>
    <w:rsid w:val="7457715C"/>
    <w:rsid w:val="74B44A6F"/>
    <w:rsid w:val="74D73D04"/>
    <w:rsid w:val="74DC5A75"/>
    <w:rsid w:val="755565D9"/>
    <w:rsid w:val="760307C9"/>
    <w:rsid w:val="76666C99"/>
    <w:rsid w:val="767904BC"/>
    <w:rsid w:val="767B00E6"/>
    <w:rsid w:val="76FE06CC"/>
    <w:rsid w:val="771E3B7D"/>
    <w:rsid w:val="77734DB3"/>
    <w:rsid w:val="78670B6C"/>
    <w:rsid w:val="787319B1"/>
    <w:rsid w:val="78A31478"/>
    <w:rsid w:val="79344625"/>
    <w:rsid w:val="79497A5D"/>
    <w:rsid w:val="79FB31C3"/>
    <w:rsid w:val="7A2F4BC4"/>
    <w:rsid w:val="7A577448"/>
    <w:rsid w:val="7A785B8B"/>
    <w:rsid w:val="7ADB139D"/>
    <w:rsid w:val="7B193C74"/>
    <w:rsid w:val="7B74201F"/>
    <w:rsid w:val="7B780E5A"/>
    <w:rsid w:val="7B833D31"/>
    <w:rsid w:val="7BA54158"/>
    <w:rsid w:val="7C073E74"/>
    <w:rsid w:val="7C3523A3"/>
    <w:rsid w:val="7C3A6703"/>
    <w:rsid w:val="7C5D361A"/>
    <w:rsid w:val="7C6D0303"/>
    <w:rsid w:val="7C7C45D6"/>
    <w:rsid w:val="7C904316"/>
    <w:rsid w:val="7CDF2C09"/>
    <w:rsid w:val="7D506E4B"/>
    <w:rsid w:val="7D7B0C16"/>
    <w:rsid w:val="7DE1316F"/>
    <w:rsid w:val="7E3F39F1"/>
    <w:rsid w:val="7E9755DB"/>
    <w:rsid w:val="7ED504FE"/>
    <w:rsid w:val="7ED868AE"/>
    <w:rsid w:val="7EDB5E10"/>
    <w:rsid w:val="7F4E70E6"/>
    <w:rsid w:val="7F625B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Book Antiqua" w:hAnsi="Book Antiqua" w:eastAsia="隶书" w:cs="Times New Roman"/>
      <w:b/>
      <w:bCs/>
      <w:color w:val="CCCCFF"/>
      <w:kern w:val="44"/>
      <w:sz w:val="72"/>
      <w:szCs w:val="24"/>
      <w:u w:val="single"/>
      <w:lang w:val="en-US" w:eastAsia="zh-CN" w:bidi="ar-SA"/>
    </w:rPr>
  </w:style>
  <w:style w:type="paragraph" w:styleId="2">
    <w:name w:val="heading 1"/>
    <w:basedOn w:val="1"/>
    <w:next w:val="1"/>
    <w:link w:val="42"/>
    <w:qFormat/>
    <w:uiPriority w:val="9"/>
    <w:pPr>
      <w:keepNext/>
      <w:keepLines/>
      <w:spacing w:before="340" w:after="330" w:line="576" w:lineRule="auto"/>
      <w:outlineLvl w:val="0"/>
    </w:pPr>
    <w:rPr>
      <w:b w:val="0"/>
      <w:bCs w:val="0"/>
      <w:sz w:val="44"/>
      <w:szCs w:val="44"/>
    </w:rPr>
  </w:style>
  <w:style w:type="paragraph" w:styleId="3">
    <w:name w:val="heading 2"/>
    <w:basedOn w:val="1"/>
    <w:next w:val="4"/>
    <w:link w:val="43"/>
    <w:qFormat/>
    <w:uiPriority w:val="0"/>
    <w:pPr>
      <w:keepNext/>
      <w:keepLines/>
      <w:spacing w:before="260" w:after="260" w:line="413" w:lineRule="auto"/>
      <w:outlineLvl w:val="1"/>
    </w:pPr>
    <w:rPr>
      <w:rFonts w:ascii="Arial" w:hAnsi="Arial" w:eastAsia="黑体"/>
      <w:b w:val="0"/>
      <w:bCs w:val="0"/>
      <w:sz w:val="32"/>
      <w:szCs w:val="32"/>
    </w:rPr>
  </w:style>
  <w:style w:type="paragraph" w:styleId="5">
    <w:name w:val="heading 3"/>
    <w:basedOn w:val="1"/>
    <w:next w:val="1"/>
    <w:link w:val="44"/>
    <w:qFormat/>
    <w:uiPriority w:val="0"/>
    <w:pPr>
      <w:keepNext/>
      <w:keepLines/>
      <w:spacing w:before="260" w:after="260" w:line="413" w:lineRule="auto"/>
      <w:outlineLvl w:val="2"/>
    </w:pPr>
    <w:rPr>
      <w:b w:val="0"/>
      <w:bCs w:val="0"/>
      <w:sz w:val="32"/>
      <w:szCs w:val="32"/>
    </w:rPr>
  </w:style>
  <w:style w:type="paragraph" w:styleId="6">
    <w:name w:val="heading 4"/>
    <w:basedOn w:val="1"/>
    <w:next w:val="1"/>
    <w:link w:val="45"/>
    <w:unhideWhenUsed/>
    <w:qFormat/>
    <w:uiPriority w:val="0"/>
    <w:pPr>
      <w:keepNext/>
      <w:keepLines/>
      <w:spacing w:before="280" w:after="290" w:line="372" w:lineRule="auto"/>
      <w:outlineLvl w:val="3"/>
    </w:pPr>
    <w:rPr>
      <w:rFonts w:ascii="Arial" w:hAnsi="Arial" w:eastAsia="黑体"/>
      <w:b w:val="0"/>
      <w:color w:val="auto"/>
      <w:sz w:val="28"/>
    </w:rPr>
  </w:style>
  <w:style w:type="paragraph" w:styleId="7">
    <w:name w:val="heading 5"/>
    <w:basedOn w:val="1"/>
    <w:next w:val="1"/>
    <w:link w:val="131"/>
    <w:semiHidden/>
    <w:unhideWhenUsed/>
    <w:qFormat/>
    <w:uiPriority w:val="9"/>
    <w:pPr>
      <w:keepNext/>
      <w:keepLines/>
      <w:spacing w:line="372" w:lineRule="auto"/>
      <w:outlineLvl w:val="4"/>
    </w:pPr>
    <w:rPr>
      <w:b w:val="0"/>
      <w:sz w:val="28"/>
    </w:rPr>
  </w:style>
  <w:style w:type="character" w:default="1" w:styleId="32">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47"/>
    <w:qFormat/>
    <w:uiPriority w:val="0"/>
    <w:pPr>
      <w:adjustRightInd w:val="0"/>
      <w:spacing w:line="360" w:lineRule="auto"/>
      <w:ind w:firstLine="480" w:firstLineChars="200"/>
    </w:pPr>
    <w:rPr>
      <w:rFonts w:ascii="Times New Roman" w:hAnsi="Times New Roman" w:eastAsia="仿宋_GB2312"/>
      <w:color w:val="auto"/>
      <w:kern w:val="0"/>
      <w:sz w:val="24"/>
    </w:rPr>
  </w:style>
  <w:style w:type="paragraph" w:styleId="8">
    <w:name w:val="toc 7"/>
    <w:basedOn w:val="1"/>
    <w:next w:val="1"/>
    <w:qFormat/>
    <w:uiPriority w:val="0"/>
    <w:pPr>
      <w:ind w:left="4320"/>
      <w:jc w:val="left"/>
    </w:pPr>
    <w:rPr>
      <w:rFonts w:ascii="Times New Roman" w:hAnsi="Times New Roman"/>
      <w:sz w:val="20"/>
      <w:szCs w:val="20"/>
      <w:u w:val="none"/>
    </w:rPr>
  </w:style>
  <w:style w:type="paragraph" w:styleId="9">
    <w:name w:val="Document Map"/>
    <w:basedOn w:val="1"/>
    <w:link w:val="56"/>
    <w:qFormat/>
    <w:uiPriority w:val="0"/>
    <w:pPr>
      <w:shd w:val="clear" w:color="auto" w:fill="000080"/>
    </w:pPr>
  </w:style>
  <w:style w:type="paragraph" w:styleId="10">
    <w:name w:val="annotation text"/>
    <w:basedOn w:val="1"/>
    <w:link w:val="48"/>
    <w:qFormat/>
    <w:uiPriority w:val="0"/>
    <w:pPr>
      <w:jc w:val="left"/>
    </w:pPr>
  </w:style>
  <w:style w:type="paragraph" w:styleId="11">
    <w:name w:val="Body Text"/>
    <w:basedOn w:val="1"/>
    <w:link w:val="40"/>
    <w:qFormat/>
    <w:uiPriority w:val="1"/>
    <w:pPr>
      <w:jc w:val="center"/>
    </w:pPr>
    <w:rPr>
      <w:rFonts w:ascii="宋体" w:hAnsi="宋体" w:eastAsia="宋体"/>
      <w:color w:val="000000"/>
      <w:kern w:val="0"/>
      <w:sz w:val="24"/>
      <w:szCs w:val="20"/>
    </w:rPr>
  </w:style>
  <w:style w:type="paragraph" w:styleId="12">
    <w:name w:val="Body Text Indent"/>
    <w:basedOn w:val="1"/>
    <w:link w:val="51"/>
    <w:qFormat/>
    <w:uiPriority w:val="0"/>
    <w:pPr>
      <w:ind w:firstLine="560" w:firstLineChars="200"/>
    </w:pPr>
    <w:rPr>
      <w:rFonts w:ascii="Times New Roman" w:hAnsi="Times New Roman" w:eastAsia="宋体"/>
      <w:color w:val="000000"/>
      <w:kern w:val="0"/>
      <w:sz w:val="28"/>
      <w:szCs w:val="20"/>
    </w:rPr>
  </w:style>
  <w:style w:type="paragraph" w:styleId="13">
    <w:name w:val="toc 5"/>
    <w:basedOn w:val="1"/>
    <w:next w:val="1"/>
    <w:qFormat/>
    <w:uiPriority w:val="0"/>
    <w:pPr>
      <w:ind w:left="2880"/>
      <w:jc w:val="left"/>
    </w:pPr>
    <w:rPr>
      <w:rFonts w:ascii="Times New Roman" w:hAnsi="Times New Roman"/>
      <w:sz w:val="20"/>
      <w:szCs w:val="20"/>
      <w:u w:val="none"/>
    </w:rPr>
  </w:style>
  <w:style w:type="paragraph" w:styleId="14">
    <w:name w:val="toc 3"/>
    <w:basedOn w:val="1"/>
    <w:next w:val="1"/>
    <w:qFormat/>
    <w:uiPriority w:val="39"/>
    <w:pPr>
      <w:ind w:left="1440"/>
      <w:jc w:val="left"/>
    </w:pPr>
    <w:rPr>
      <w:rFonts w:ascii="Times New Roman" w:hAnsi="Times New Roman"/>
      <w:sz w:val="20"/>
      <w:szCs w:val="20"/>
      <w:u w:val="none"/>
    </w:rPr>
  </w:style>
  <w:style w:type="paragraph" w:styleId="15">
    <w:name w:val="Plain Text"/>
    <w:basedOn w:val="1"/>
    <w:next w:val="1"/>
    <w:link w:val="41"/>
    <w:qFormat/>
    <w:uiPriority w:val="0"/>
    <w:rPr>
      <w:rFonts w:ascii="宋体" w:hAnsi="Courier New" w:eastAsia="宋体" w:cs="Courier New"/>
      <w:color w:val="auto"/>
      <w:sz w:val="44"/>
      <w:szCs w:val="20"/>
    </w:rPr>
  </w:style>
  <w:style w:type="paragraph" w:styleId="16">
    <w:name w:val="toc 8"/>
    <w:basedOn w:val="1"/>
    <w:next w:val="1"/>
    <w:qFormat/>
    <w:uiPriority w:val="0"/>
    <w:pPr>
      <w:ind w:left="5040"/>
      <w:jc w:val="left"/>
    </w:pPr>
    <w:rPr>
      <w:rFonts w:ascii="Times New Roman" w:hAnsi="Times New Roman"/>
      <w:sz w:val="20"/>
      <w:szCs w:val="20"/>
      <w:u w:val="none"/>
    </w:rPr>
  </w:style>
  <w:style w:type="paragraph" w:styleId="17">
    <w:name w:val="Date"/>
    <w:basedOn w:val="1"/>
    <w:next w:val="1"/>
    <w:link w:val="52"/>
    <w:qFormat/>
    <w:uiPriority w:val="0"/>
    <w:pPr>
      <w:ind w:left="100" w:leftChars="2500"/>
    </w:pPr>
  </w:style>
  <w:style w:type="paragraph" w:styleId="18">
    <w:name w:val="Body Text Indent 2"/>
    <w:basedOn w:val="1"/>
    <w:link w:val="55"/>
    <w:qFormat/>
    <w:uiPriority w:val="0"/>
    <w:pPr>
      <w:ind w:firstLine="538" w:firstLineChars="224"/>
    </w:pPr>
    <w:rPr>
      <w:rFonts w:ascii="宋体" w:hAnsi="宋体"/>
      <w:sz w:val="24"/>
    </w:rPr>
  </w:style>
  <w:style w:type="paragraph" w:styleId="19">
    <w:name w:val="Balloon Text"/>
    <w:basedOn w:val="1"/>
    <w:link w:val="58"/>
    <w:qFormat/>
    <w:uiPriority w:val="99"/>
    <w:rPr>
      <w:sz w:val="18"/>
      <w:szCs w:val="18"/>
    </w:rPr>
  </w:style>
  <w:style w:type="paragraph" w:styleId="20">
    <w:name w:val="footer"/>
    <w:basedOn w:val="1"/>
    <w:next w:val="1"/>
    <w:link w:val="50"/>
    <w:qFormat/>
    <w:uiPriority w:val="99"/>
    <w:pPr>
      <w:tabs>
        <w:tab w:val="center" w:pos="4153"/>
        <w:tab w:val="right" w:pos="8306"/>
      </w:tabs>
      <w:snapToGrid w:val="0"/>
      <w:jc w:val="left"/>
    </w:pPr>
    <w:rPr>
      <w:sz w:val="18"/>
      <w:szCs w:val="18"/>
    </w:rPr>
  </w:style>
  <w:style w:type="paragraph" w:styleId="21">
    <w:name w:val="header"/>
    <w:basedOn w:val="1"/>
    <w:link w:val="49"/>
    <w:qFormat/>
    <w:uiPriority w:val="0"/>
    <w:pPr>
      <w:pBdr>
        <w:top w:val="none" w:color="auto" w:sz="0" w:space="1"/>
        <w:left w:val="none" w:color="auto" w:sz="0" w:space="4"/>
        <w:bottom w:val="single" w:color="auto" w:sz="4" w:space="1"/>
        <w:right w:val="none" w:color="auto" w:sz="0" w:space="4"/>
      </w:pBdr>
      <w:tabs>
        <w:tab w:val="center" w:pos="4153"/>
        <w:tab w:val="right" w:pos="8306"/>
      </w:tabs>
      <w:snapToGrid w:val="0"/>
      <w:jc w:val="center"/>
    </w:pPr>
    <w:rPr>
      <w:sz w:val="18"/>
      <w:szCs w:val="18"/>
    </w:rPr>
  </w:style>
  <w:style w:type="paragraph" w:styleId="22">
    <w:name w:val="toc 1"/>
    <w:basedOn w:val="1"/>
    <w:next w:val="1"/>
    <w:qFormat/>
    <w:uiPriority w:val="39"/>
    <w:pPr>
      <w:spacing w:before="120"/>
      <w:jc w:val="left"/>
    </w:pPr>
    <w:rPr>
      <w:rFonts w:ascii="Times New Roman" w:hAnsi="Times New Roman"/>
      <w:i/>
      <w:iCs/>
      <w:sz w:val="24"/>
      <w:u w:val="none"/>
    </w:rPr>
  </w:style>
  <w:style w:type="paragraph" w:styleId="23">
    <w:name w:val="toc 4"/>
    <w:basedOn w:val="1"/>
    <w:next w:val="1"/>
    <w:qFormat/>
    <w:uiPriority w:val="0"/>
    <w:pPr>
      <w:ind w:left="2160"/>
      <w:jc w:val="left"/>
    </w:pPr>
    <w:rPr>
      <w:rFonts w:ascii="Times New Roman" w:hAnsi="Times New Roman"/>
      <w:sz w:val="20"/>
      <w:szCs w:val="20"/>
      <w:u w:val="none"/>
    </w:rPr>
  </w:style>
  <w:style w:type="paragraph" w:styleId="24">
    <w:name w:val="toc 6"/>
    <w:basedOn w:val="1"/>
    <w:next w:val="1"/>
    <w:qFormat/>
    <w:uiPriority w:val="0"/>
    <w:pPr>
      <w:ind w:left="3600"/>
      <w:jc w:val="left"/>
    </w:pPr>
    <w:rPr>
      <w:rFonts w:ascii="Times New Roman" w:hAnsi="Times New Roman"/>
      <w:sz w:val="20"/>
      <w:szCs w:val="20"/>
      <w:u w:val="none"/>
    </w:rPr>
  </w:style>
  <w:style w:type="paragraph" w:styleId="25">
    <w:name w:val="toc 2"/>
    <w:basedOn w:val="1"/>
    <w:next w:val="1"/>
    <w:link w:val="46"/>
    <w:qFormat/>
    <w:uiPriority w:val="39"/>
    <w:pPr>
      <w:spacing w:before="120"/>
      <w:ind w:left="720"/>
      <w:jc w:val="left"/>
    </w:pPr>
    <w:rPr>
      <w:rFonts w:ascii="Times New Roman" w:hAnsi="Times New Roman" w:eastAsia="宋体"/>
      <w:b w:val="0"/>
      <w:bCs w:val="0"/>
      <w:color w:val="auto"/>
      <w:kern w:val="0"/>
      <w:sz w:val="22"/>
      <w:szCs w:val="44"/>
    </w:rPr>
  </w:style>
  <w:style w:type="paragraph" w:styleId="26">
    <w:name w:val="toc 9"/>
    <w:basedOn w:val="1"/>
    <w:next w:val="1"/>
    <w:qFormat/>
    <w:uiPriority w:val="0"/>
    <w:pPr>
      <w:ind w:left="5760"/>
      <w:jc w:val="left"/>
    </w:pPr>
    <w:rPr>
      <w:rFonts w:ascii="Times New Roman" w:hAnsi="Times New Roman"/>
      <w:sz w:val="20"/>
      <w:szCs w:val="20"/>
      <w:u w:val="none"/>
    </w:rPr>
  </w:style>
  <w:style w:type="paragraph" w:styleId="27">
    <w:name w:val="Body Text 2"/>
    <w:basedOn w:val="1"/>
    <w:link w:val="54"/>
    <w:qFormat/>
    <w:uiPriority w:val="0"/>
    <w:pPr>
      <w:spacing w:line="500" w:lineRule="exact"/>
    </w:pPr>
    <w:rPr>
      <w:rFonts w:ascii="宋体" w:hAnsi="宋体" w:eastAsia="宋体"/>
      <w:color w:val="000000"/>
      <w:kern w:val="0"/>
      <w:sz w:val="28"/>
      <w:szCs w:val="20"/>
    </w:rPr>
  </w:style>
  <w:style w:type="paragraph" w:styleId="28">
    <w:name w:val="Normal (Web)"/>
    <w:basedOn w:val="1"/>
    <w:qFormat/>
    <w:uiPriority w:val="99"/>
    <w:pPr>
      <w:widowControl/>
      <w:spacing w:before="100" w:beforeAutospacing="1" w:after="100" w:afterAutospacing="1"/>
      <w:jc w:val="left"/>
    </w:pPr>
    <w:rPr>
      <w:rFonts w:hint="eastAsia" w:ascii="宋体" w:hAnsi="宋体"/>
      <w:color w:val="4C4C4C"/>
      <w:kern w:val="0"/>
      <w:sz w:val="24"/>
    </w:rPr>
  </w:style>
  <w:style w:type="paragraph" w:styleId="29">
    <w:name w:val="annotation subject"/>
    <w:basedOn w:val="10"/>
    <w:next w:val="10"/>
    <w:link w:val="57"/>
    <w:semiHidden/>
    <w:unhideWhenUsed/>
    <w:qFormat/>
    <w:uiPriority w:val="0"/>
    <w:rPr>
      <w:b w:val="0"/>
      <w:bCs w:val="0"/>
    </w:rPr>
  </w:style>
  <w:style w:type="paragraph" w:styleId="30">
    <w:name w:val="Body Text First Indent 2"/>
    <w:basedOn w:val="12"/>
    <w:link w:val="53"/>
    <w:qFormat/>
    <w:uiPriority w:val="99"/>
    <w:pPr>
      <w:tabs>
        <w:tab w:val="left" w:pos="0"/>
        <w:tab w:val="left" w:pos="993"/>
        <w:tab w:val="left" w:pos="1134"/>
      </w:tabs>
      <w:ind w:firstLine="420"/>
    </w:p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rFonts w:hint="eastAsia" w:ascii="宋体" w:hAnsi="宋体" w:eastAsia="宋体" w:cs="宋体"/>
      <w:color w:val="3D3D3D"/>
      <w:u w:val="none"/>
    </w:rPr>
  </w:style>
  <w:style w:type="character" w:styleId="36">
    <w:name w:val="Emphasis"/>
    <w:basedOn w:val="32"/>
    <w:qFormat/>
    <w:uiPriority w:val="0"/>
    <w:rPr>
      <w:i/>
    </w:rPr>
  </w:style>
  <w:style w:type="character" w:styleId="37">
    <w:name w:val="Hyperlink"/>
    <w:basedOn w:val="32"/>
    <w:qFormat/>
    <w:uiPriority w:val="99"/>
    <w:rPr>
      <w:rFonts w:hint="eastAsia" w:ascii="宋体" w:hAnsi="宋体" w:eastAsia="宋体" w:cs="宋体"/>
      <w:color w:val="3D3D3D"/>
      <w:u w:val="none"/>
    </w:rPr>
  </w:style>
  <w:style w:type="character" w:styleId="38">
    <w:name w:val="annotation reference"/>
    <w:qFormat/>
    <w:uiPriority w:val="0"/>
    <w:rPr>
      <w:rFonts w:ascii="Calibri" w:hAnsi="Calibri" w:eastAsia="宋体" w:cs="Times New Roman"/>
      <w:sz w:val="21"/>
      <w:szCs w:val="21"/>
    </w:rPr>
  </w:style>
  <w:style w:type="character" w:styleId="39">
    <w:name w:val="HTML Cite"/>
    <w:basedOn w:val="32"/>
    <w:qFormat/>
    <w:uiPriority w:val="0"/>
  </w:style>
  <w:style w:type="character" w:customStyle="1" w:styleId="40">
    <w:name w:val="正文文本 字符"/>
    <w:basedOn w:val="32"/>
    <w:link w:val="11"/>
    <w:qFormat/>
    <w:uiPriority w:val="1"/>
    <w:rPr>
      <w:rFonts w:ascii="宋体" w:hAnsi="宋体" w:eastAsia="宋体" w:cs="Times New Roman"/>
      <w:color w:val="000000"/>
      <w:kern w:val="0"/>
      <w:sz w:val="24"/>
      <w:szCs w:val="20"/>
    </w:rPr>
  </w:style>
  <w:style w:type="character" w:customStyle="1" w:styleId="41">
    <w:name w:val="纯文本 字符"/>
    <w:basedOn w:val="32"/>
    <w:link w:val="15"/>
    <w:qFormat/>
    <w:uiPriority w:val="0"/>
    <w:rPr>
      <w:rFonts w:ascii="宋体" w:hAnsi="Courier New" w:eastAsia="宋体" w:cs="Courier New"/>
      <w:szCs w:val="20"/>
    </w:rPr>
  </w:style>
  <w:style w:type="character" w:customStyle="1" w:styleId="42">
    <w:name w:val="标题 1 字符"/>
    <w:basedOn w:val="32"/>
    <w:link w:val="2"/>
    <w:qFormat/>
    <w:uiPriority w:val="9"/>
    <w:rPr>
      <w:rFonts w:ascii="Book Antiqua" w:hAnsi="Book Antiqua" w:eastAsia="隶书" w:cs="Times New Roman"/>
      <w:b/>
      <w:bCs/>
      <w:color w:val="CCCCFF"/>
      <w:kern w:val="44"/>
      <w:sz w:val="44"/>
      <w:szCs w:val="44"/>
      <w:u w:val="single"/>
    </w:rPr>
  </w:style>
  <w:style w:type="character" w:customStyle="1" w:styleId="43">
    <w:name w:val="标题 2 字符"/>
    <w:basedOn w:val="32"/>
    <w:link w:val="3"/>
    <w:qFormat/>
    <w:uiPriority w:val="0"/>
    <w:rPr>
      <w:rFonts w:ascii="Arial" w:hAnsi="Arial" w:eastAsia="黑体" w:cs="Times New Roman"/>
      <w:b/>
      <w:bCs/>
      <w:color w:val="CCCCFF"/>
      <w:sz w:val="32"/>
      <w:szCs w:val="32"/>
      <w:u w:val="single"/>
    </w:rPr>
  </w:style>
  <w:style w:type="character" w:customStyle="1" w:styleId="44">
    <w:name w:val="标题 3 字符"/>
    <w:basedOn w:val="32"/>
    <w:link w:val="5"/>
    <w:qFormat/>
    <w:uiPriority w:val="0"/>
    <w:rPr>
      <w:rFonts w:ascii="Book Antiqua" w:hAnsi="Book Antiqua" w:eastAsia="隶书" w:cs="Times New Roman"/>
      <w:b/>
      <w:bCs/>
      <w:color w:val="CCCCFF"/>
      <w:sz w:val="32"/>
      <w:szCs w:val="32"/>
      <w:u w:val="single"/>
    </w:rPr>
  </w:style>
  <w:style w:type="character" w:customStyle="1" w:styleId="45">
    <w:name w:val="标题 4 字符"/>
    <w:basedOn w:val="32"/>
    <w:link w:val="6"/>
    <w:qFormat/>
    <w:uiPriority w:val="0"/>
    <w:rPr>
      <w:rFonts w:ascii="Arial" w:hAnsi="Arial" w:eastAsia="黑体"/>
      <w:b/>
      <w:sz w:val="28"/>
      <w:szCs w:val="24"/>
    </w:rPr>
  </w:style>
  <w:style w:type="character" w:customStyle="1" w:styleId="46">
    <w:name w:val="TOC 2 字符"/>
    <w:link w:val="25"/>
    <w:qFormat/>
    <w:uiPriority w:val="39"/>
    <w:rPr>
      <w:rFonts w:ascii="Times New Roman" w:hAnsi="Times New Roman" w:eastAsia="宋体" w:cs="Times New Roman"/>
      <w:b/>
      <w:bCs/>
      <w:kern w:val="0"/>
      <w:sz w:val="22"/>
    </w:rPr>
  </w:style>
  <w:style w:type="character" w:customStyle="1" w:styleId="47">
    <w:name w:val="正文缩进 字符"/>
    <w:link w:val="4"/>
    <w:qFormat/>
    <w:uiPriority w:val="0"/>
    <w:rPr>
      <w:rFonts w:ascii="Times New Roman" w:hAnsi="Times New Roman" w:eastAsia="仿宋_GB2312"/>
      <w:kern w:val="0"/>
      <w:sz w:val="24"/>
      <w:szCs w:val="24"/>
    </w:rPr>
  </w:style>
  <w:style w:type="character" w:customStyle="1" w:styleId="48">
    <w:name w:val="批注文字 字符"/>
    <w:basedOn w:val="32"/>
    <w:link w:val="10"/>
    <w:qFormat/>
    <w:uiPriority w:val="0"/>
    <w:rPr>
      <w:rFonts w:ascii="Book Antiqua" w:hAnsi="Book Antiqua" w:eastAsia="隶书" w:cs="Times New Roman"/>
      <w:color w:val="CCCCFF"/>
      <w:sz w:val="72"/>
      <w:szCs w:val="24"/>
      <w:u w:val="single"/>
    </w:rPr>
  </w:style>
  <w:style w:type="character" w:customStyle="1" w:styleId="49">
    <w:name w:val="页眉 字符"/>
    <w:basedOn w:val="32"/>
    <w:link w:val="21"/>
    <w:qFormat/>
    <w:uiPriority w:val="0"/>
    <w:rPr>
      <w:rFonts w:ascii="Book Antiqua" w:hAnsi="Book Antiqua" w:eastAsia="隶书" w:cs="Times New Roman"/>
      <w:color w:val="CCCCFF"/>
      <w:sz w:val="18"/>
      <w:szCs w:val="18"/>
      <w:u w:val="single"/>
    </w:rPr>
  </w:style>
  <w:style w:type="character" w:customStyle="1" w:styleId="50">
    <w:name w:val="页脚 字符"/>
    <w:basedOn w:val="32"/>
    <w:link w:val="20"/>
    <w:qFormat/>
    <w:uiPriority w:val="99"/>
    <w:rPr>
      <w:rFonts w:ascii="Book Antiqua" w:hAnsi="Book Antiqua" w:eastAsia="隶书" w:cs="Times New Roman"/>
      <w:color w:val="CCCCFF"/>
      <w:sz w:val="18"/>
      <w:szCs w:val="18"/>
      <w:u w:val="single"/>
    </w:rPr>
  </w:style>
  <w:style w:type="character" w:customStyle="1" w:styleId="51">
    <w:name w:val="正文文本缩进 字符"/>
    <w:basedOn w:val="32"/>
    <w:link w:val="12"/>
    <w:qFormat/>
    <w:uiPriority w:val="0"/>
    <w:rPr>
      <w:rFonts w:ascii="Times New Roman" w:hAnsi="Times New Roman" w:eastAsia="宋体" w:cs="Times New Roman"/>
      <w:color w:val="000000"/>
      <w:kern w:val="0"/>
      <w:sz w:val="28"/>
      <w:szCs w:val="20"/>
    </w:rPr>
  </w:style>
  <w:style w:type="character" w:customStyle="1" w:styleId="52">
    <w:name w:val="日期 字符"/>
    <w:basedOn w:val="32"/>
    <w:link w:val="17"/>
    <w:qFormat/>
    <w:uiPriority w:val="0"/>
    <w:rPr>
      <w:rFonts w:ascii="Book Antiqua" w:hAnsi="Book Antiqua" w:eastAsia="隶书" w:cs="Times New Roman"/>
      <w:color w:val="CCCCFF"/>
      <w:sz w:val="72"/>
      <w:szCs w:val="24"/>
      <w:u w:val="single"/>
    </w:rPr>
  </w:style>
  <w:style w:type="character" w:customStyle="1" w:styleId="53">
    <w:name w:val="正文文本首行缩进 2 字符"/>
    <w:basedOn w:val="51"/>
    <w:link w:val="30"/>
    <w:qFormat/>
    <w:uiPriority w:val="99"/>
    <w:rPr>
      <w:rFonts w:ascii="Times New Roman" w:hAnsi="Times New Roman" w:eastAsia="宋体" w:cs="Times New Roman"/>
      <w:color w:val="000000"/>
      <w:kern w:val="0"/>
      <w:sz w:val="28"/>
      <w:szCs w:val="20"/>
    </w:rPr>
  </w:style>
  <w:style w:type="character" w:customStyle="1" w:styleId="54">
    <w:name w:val="正文文本 2 字符1"/>
    <w:basedOn w:val="32"/>
    <w:link w:val="27"/>
    <w:qFormat/>
    <w:uiPriority w:val="0"/>
    <w:rPr>
      <w:rFonts w:ascii="宋体" w:hAnsi="宋体" w:eastAsia="宋体" w:cs="Times New Roman"/>
      <w:color w:val="000000"/>
      <w:kern w:val="0"/>
      <w:sz w:val="28"/>
      <w:szCs w:val="20"/>
    </w:rPr>
  </w:style>
  <w:style w:type="character" w:customStyle="1" w:styleId="55">
    <w:name w:val="正文文本缩进 2 字符"/>
    <w:basedOn w:val="32"/>
    <w:link w:val="18"/>
    <w:qFormat/>
    <w:uiPriority w:val="0"/>
    <w:rPr>
      <w:rFonts w:ascii="宋体" w:hAnsi="宋体" w:eastAsia="隶书" w:cs="Times New Roman"/>
      <w:color w:val="CCCCFF"/>
      <w:sz w:val="24"/>
      <w:szCs w:val="24"/>
      <w:u w:val="single"/>
    </w:rPr>
  </w:style>
  <w:style w:type="character" w:customStyle="1" w:styleId="56">
    <w:name w:val="文档结构图 字符"/>
    <w:basedOn w:val="32"/>
    <w:link w:val="9"/>
    <w:qFormat/>
    <w:uiPriority w:val="0"/>
    <w:rPr>
      <w:rFonts w:ascii="Book Antiqua" w:hAnsi="Book Antiqua" w:eastAsia="隶书" w:cs="Times New Roman"/>
      <w:color w:val="CCCCFF"/>
      <w:sz w:val="72"/>
      <w:szCs w:val="24"/>
      <w:u w:val="single"/>
      <w:shd w:val="clear" w:color="auto" w:fill="000080"/>
    </w:rPr>
  </w:style>
  <w:style w:type="character" w:customStyle="1" w:styleId="57">
    <w:name w:val="批注主题 字符"/>
    <w:basedOn w:val="48"/>
    <w:link w:val="29"/>
    <w:semiHidden/>
    <w:qFormat/>
    <w:uiPriority w:val="0"/>
    <w:rPr>
      <w:rFonts w:ascii="Book Antiqua" w:hAnsi="Book Antiqua" w:eastAsia="隶书" w:cs="Times New Roman"/>
      <w:b/>
      <w:bCs/>
      <w:color w:val="CCCCFF"/>
      <w:sz w:val="72"/>
      <w:szCs w:val="24"/>
      <w:u w:val="single"/>
    </w:rPr>
  </w:style>
  <w:style w:type="character" w:customStyle="1" w:styleId="58">
    <w:name w:val="批注框文本 字符"/>
    <w:basedOn w:val="32"/>
    <w:link w:val="19"/>
    <w:qFormat/>
    <w:uiPriority w:val="99"/>
    <w:rPr>
      <w:rFonts w:ascii="Book Antiqua" w:hAnsi="Book Antiqua" w:eastAsia="隶书" w:cs="Times New Roman"/>
      <w:color w:val="CCCCFF"/>
      <w:sz w:val="18"/>
      <w:szCs w:val="18"/>
      <w:u w:val="single"/>
    </w:rPr>
  </w:style>
  <w:style w:type="paragraph" w:styleId="59">
    <w:name w:val="List Paragraph"/>
    <w:basedOn w:val="1"/>
    <w:qFormat/>
    <w:uiPriority w:val="34"/>
    <w:pPr>
      <w:ind w:firstLine="420" w:firstLineChars="200"/>
    </w:pPr>
    <w:rPr>
      <w:rFonts w:ascii="Calibri" w:hAnsi="Calibri"/>
      <w:sz w:val="21"/>
      <w:szCs w:val="22"/>
    </w:rPr>
  </w:style>
  <w:style w:type="paragraph" w:customStyle="1" w:styleId="60">
    <w:name w:val="列出段落1"/>
    <w:basedOn w:val="1"/>
    <w:qFormat/>
    <w:uiPriority w:val="99"/>
    <w:pPr>
      <w:ind w:firstLine="420" w:firstLineChars="200"/>
    </w:pPr>
    <w:rPr>
      <w:rFonts w:ascii="Calibri" w:hAnsi="Calibri"/>
      <w:sz w:val="21"/>
      <w:szCs w:val="22"/>
    </w:rPr>
  </w:style>
  <w:style w:type="paragraph" w:customStyle="1" w:styleId="61">
    <w:name w:val="_Style 4"/>
    <w:basedOn w:val="1"/>
    <w:qFormat/>
    <w:uiPriority w:val="0"/>
    <w:pPr>
      <w:jc w:val="left"/>
    </w:pPr>
    <w:rPr>
      <w:rFonts w:ascii="仿宋_GB2312" w:hAnsi="Times New Roman" w:eastAsia="仿宋_GB2312"/>
      <w:color w:val="auto"/>
      <w:sz w:val="32"/>
      <w:szCs w:val="32"/>
      <w:u w:val="none"/>
    </w:rPr>
  </w:style>
  <w:style w:type="paragraph" w:customStyle="1" w:styleId="62">
    <w:name w:val="Char Char2 Char Char Char Char Char Char Char"/>
    <w:basedOn w:val="1"/>
    <w:qFormat/>
    <w:uiPriority w:val="0"/>
    <w:pPr>
      <w:spacing w:line="360" w:lineRule="auto"/>
      <w:ind w:firstLine="200" w:firstLineChars="200"/>
    </w:pPr>
    <w:rPr>
      <w:rFonts w:ascii="宋体" w:hAnsi="宋体" w:eastAsia="宋体" w:cs="宋体"/>
      <w:color w:val="auto"/>
      <w:sz w:val="24"/>
      <w:u w:val="none"/>
    </w:rPr>
  </w:style>
  <w:style w:type="paragraph" w:customStyle="1" w:styleId="63">
    <w:name w:val="Char Char Char Char Char Char1 Char Char Char Char"/>
    <w:basedOn w:val="1"/>
    <w:qFormat/>
    <w:uiPriority w:val="0"/>
    <w:pPr>
      <w:spacing w:line="360" w:lineRule="auto"/>
      <w:ind w:firstLine="200" w:firstLineChars="200"/>
    </w:pPr>
    <w:rPr>
      <w:rFonts w:ascii="宋体" w:hAnsi="宋体" w:eastAsia="宋体" w:cs="宋体"/>
      <w:color w:val="auto"/>
      <w:sz w:val="24"/>
      <w:u w:val="none"/>
    </w:rPr>
  </w:style>
  <w:style w:type="paragraph" w:customStyle="1" w:styleId="64">
    <w:name w:val="p0"/>
    <w:basedOn w:val="1"/>
    <w:qFormat/>
    <w:uiPriority w:val="0"/>
    <w:pPr>
      <w:widowControl/>
    </w:pPr>
    <w:rPr>
      <w:kern w:val="0"/>
    </w:rPr>
  </w:style>
  <w:style w:type="paragraph" w:customStyle="1" w:styleId="65">
    <w:name w:val="Char"/>
    <w:basedOn w:val="1"/>
    <w:qFormat/>
    <w:uiPriority w:val="0"/>
    <w:rPr>
      <w:rFonts w:ascii="Times New Roman" w:hAnsi="Times New Roman" w:eastAsia="宋体"/>
      <w:color w:val="auto"/>
      <w:sz w:val="28"/>
      <w:szCs w:val="20"/>
      <w:u w:val="none"/>
    </w:rPr>
  </w:style>
  <w:style w:type="paragraph" w:customStyle="1" w:styleId="66">
    <w:name w:val="Default"/>
    <w:qFormat/>
    <w:uiPriority w:val="0"/>
    <w:pPr>
      <w:widowControl w:val="0"/>
      <w:autoSpaceDE w:val="0"/>
      <w:autoSpaceDN w:val="0"/>
      <w:adjustRightInd w:val="0"/>
    </w:pPr>
    <w:rPr>
      <w:rFonts w:ascii="宋体" w:hAnsi="Times New Roman" w:eastAsia="宋体" w:cs="宋体"/>
      <w:b/>
      <w:bCs/>
      <w:color w:val="000000"/>
      <w:sz w:val="24"/>
      <w:szCs w:val="24"/>
      <w:u w:val="single"/>
      <w:lang w:val="en-US" w:eastAsia="zh-CN" w:bidi="ar-SA"/>
    </w:rPr>
  </w:style>
  <w:style w:type="character" w:customStyle="1" w:styleId="67">
    <w:name w:val="redfilefwwh"/>
    <w:basedOn w:val="32"/>
    <w:qFormat/>
    <w:uiPriority w:val="0"/>
    <w:rPr>
      <w:color w:val="BA2636"/>
      <w:sz w:val="18"/>
      <w:szCs w:val="18"/>
    </w:rPr>
  </w:style>
  <w:style w:type="character" w:customStyle="1" w:styleId="68">
    <w:name w:val="cfdate"/>
    <w:basedOn w:val="32"/>
    <w:qFormat/>
    <w:uiPriority w:val="0"/>
    <w:rPr>
      <w:color w:val="333333"/>
      <w:sz w:val="18"/>
      <w:szCs w:val="18"/>
    </w:rPr>
  </w:style>
  <w:style w:type="character" w:customStyle="1" w:styleId="69">
    <w:name w:val="qxdate"/>
    <w:basedOn w:val="32"/>
    <w:qFormat/>
    <w:uiPriority w:val="0"/>
    <w:rPr>
      <w:color w:val="333333"/>
      <w:sz w:val="18"/>
      <w:szCs w:val="18"/>
    </w:rPr>
  </w:style>
  <w:style w:type="character" w:customStyle="1" w:styleId="70">
    <w:name w:val="displayarti"/>
    <w:basedOn w:val="32"/>
    <w:qFormat/>
    <w:uiPriority w:val="0"/>
    <w:rPr>
      <w:color w:val="FFFFFF"/>
      <w:shd w:val="clear" w:color="auto" w:fill="A00000"/>
    </w:rPr>
  </w:style>
  <w:style w:type="character" w:customStyle="1" w:styleId="71">
    <w:name w:val="redfilenumber"/>
    <w:basedOn w:val="32"/>
    <w:qFormat/>
    <w:uiPriority w:val="0"/>
    <w:rPr>
      <w:color w:val="BA2636"/>
      <w:sz w:val="18"/>
      <w:szCs w:val="18"/>
    </w:rPr>
  </w:style>
  <w:style w:type="character" w:customStyle="1" w:styleId="72">
    <w:name w:val="gjfg"/>
    <w:basedOn w:val="32"/>
    <w:qFormat/>
    <w:uiPriority w:val="0"/>
  </w:style>
  <w:style w:type="paragraph" w:customStyle="1" w:styleId="73">
    <w:name w:val="样式1"/>
    <w:basedOn w:val="27"/>
    <w:qFormat/>
    <w:uiPriority w:val="0"/>
    <w:pPr>
      <w:pBdr>
        <w:top w:val="single" w:color="auto" w:sz="4" w:space="1"/>
        <w:left w:val="none" w:color="auto" w:sz="0" w:space="4"/>
        <w:bottom w:val="none" w:color="auto" w:sz="0" w:space="1"/>
        <w:right w:val="none" w:color="auto" w:sz="0" w:space="4"/>
      </w:pBdr>
    </w:pPr>
    <w:rPr>
      <w:u w:val="none"/>
    </w:rPr>
  </w:style>
  <w:style w:type="paragraph" w:customStyle="1" w:styleId="74">
    <w:name w:val="样式2"/>
    <w:basedOn w:val="27"/>
    <w:qFormat/>
    <w:uiPriority w:val="0"/>
    <w:pPr>
      <w:pBdr>
        <w:top w:val="single" w:color="auto" w:sz="4" w:space="1"/>
        <w:left w:val="none" w:color="auto" w:sz="0" w:space="4"/>
        <w:bottom w:val="none" w:color="auto" w:sz="0" w:space="1"/>
        <w:right w:val="none" w:color="auto" w:sz="0" w:space="4"/>
      </w:pBdr>
    </w:pPr>
    <w:rPr>
      <w:u w:val="none"/>
    </w:rPr>
  </w:style>
  <w:style w:type="character" w:customStyle="1" w:styleId="75">
    <w:name w:val="blue"/>
    <w:basedOn w:val="32"/>
    <w:qFormat/>
    <w:uiPriority w:val="0"/>
    <w:rPr>
      <w:shd w:val="clear" w:color="auto" w:fill="53A7FF"/>
    </w:rPr>
  </w:style>
  <w:style w:type="character" w:customStyle="1" w:styleId="76">
    <w:name w:val="green"/>
    <w:basedOn w:val="32"/>
    <w:qFormat/>
    <w:uiPriority w:val="0"/>
    <w:rPr>
      <w:shd w:val="clear" w:color="auto" w:fill="71C033"/>
    </w:rPr>
  </w:style>
  <w:style w:type="character" w:customStyle="1" w:styleId="77">
    <w:name w:val="yellow"/>
    <w:basedOn w:val="32"/>
    <w:qFormat/>
    <w:uiPriority w:val="0"/>
    <w:rPr>
      <w:shd w:val="clear" w:color="auto" w:fill="F58F00"/>
    </w:rPr>
  </w:style>
  <w:style w:type="character" w:customStyle="1" w:styleId="78">
    <w:name w:val="disabled"/>
    <w:basedOn w:val="32"/>
    <w:qFormat/>
    <w:uiPriority w:val="0"/>
    <w:rPr>
      <w:color w:val="DDDDDD"/>
      <w:bdr w:val="single" w:color="EEEEEE" w:sz="6" w:space="0"/>
    </w:rPr>
  </w:style>
  <w:style w:type="character" w:customStyle="1" w:styleId="79">
    <w:name w:val="red2"/>
    <w:basedOn w:val="32"/>
    <w:qFormat/>
    <w:uiPriority w:val="0"/>
    <w:rPr>
      <w:shd w:val="clear" w:color="auto" w:fill="EA5954"/>
    </w:rPr>
  </w:style>
  <w:style w:type="character" w:customStyle="1" w:styleId="80">
    <w:name w:val="font141"/>
    <w:basedOn w:val="32"/>
    <w:qFormat/>
    <w:uiPriority w:val="0"/>
    <w:rPr>
      <w:rFonts w:hint="eastAsia" w:ascii="宋体" w:hAnsi="宋体" w:eastAsia="宋体" w:cs="宋体"/>
      <w:b/>
      <w:color w:val="000000"/>
      <w:sz w:val="24"/>
      <w:szCs w:val="24"/>
      <w:u w:val="none"/>
    </w:rPr>
  </w:style>
  <w:style w:type="character" w:customStyle="1" w:styleId="81">
    <w:name w:val="font191"/>
    <w:basedOn w:val="32"/>
    <w:qFormat/>
    <w:uiPriority w:val="0"/>
    <w:rPr>
      <w:rFonts w:hint="default" w:ascii="Tahoma" w:hAnsi="Tahoma" w:eastAsia="Tahoma" w:cs="Tahoma"/>
      <w:b/>
      <w:color w:val="000000"/>
      <w:sz w:val="24"/>
      <w:szCs w:val="24"/>
      <w:u w:val="none"/>
    </w:rPr>
  </w:style>
  <w:style w:type="character" w:customStyle="1" w:styleId="82">
    <w:name w:val="font161"/>
    <w:basedOn w:val="32"/>
    <w:qFormat/>
    <w:uiPriority w:val="0"/>
    <w:rPr>
      <w:rFonts w:hint="eastAsia" w:ascii="宋体" w:hAnsi="宋体" w:eastAsia="宋体" w:cs="宋体"/>
      <w:color w:val="000000"/>
      <w:sz w:val="24"/>
      <w:szCs w:val="24"/>
      <w:u w:val="none"/>
    </w:rPr>
  </w:style>
  <w:style w:type="character" w:customStyle="1" w:styleId="83">
    <w:name w:val="red"/>
    <w:basedOn w:val="32"/>
    <w:qFormat/>
    <w:uiPriority w:val="0"/>
    <w:rPr>
      <w:shd w:val="clear" w:color="auto" w:fill="EA5954"/>
    </w:rPr>
  </w:style>
  <w:style w:type="character" w:customStyle="1" w:styleId="84">
    <w:name w:val="disabled2"/>
    <w:basedOn w:val="32"/>
    <w:qFormat/>
    <w:uiPriority w:val="0"/>
    <w:rPr>
      <w:color w:val="DDDDDD"/>
      <w:bdr w:val="single" w:color="EEEEEE" w:sz="6" w:space="0"/>
    </w:rPr>
  </w:style>
  <w:style w:type="paragraph" w:customStyle="1" w:styleId="85">
    <w:name w:val="样式9 Char"/>
    <w:basedOn w:val="1"/>
    <w:link w:val="86"/>
    <w:qFormat/>
    <w:uiPriority w:val="0"/>
    <w:pPr>
      <w:spacing w:line="440" w:lineRule="exact"/>
      <w:ind w:firstLine="200" w:firstLineChars="200"/>
    </w:pPr>
    <w:rPr>
      <w:spacing w:val="6"/>
      <w:sz w:val="24"/>
    </w:rPr>
  </w:style>
  <w:style w:type="character" w:customStyle="1" w:styleId="86">
    <w:name w:val="样式9 Char Char"/>
    <w:link w:val="85"/>
    <w:qFormat/>
    <w:uiPriority w:val="0"/>
    <w:rPr>
      <w:rFonts w:ascii="Book Antiqua" w:hAnsi="Book Antiqua" w:eastAsia="隶书" w:cs="Times New Roman"/>
      <w:color w:val="CCCCFF"/>
      <w:spacing w:val="6"/>
      <w:sz w:val="24"/>
      <w:szCs w:val="24"/>
      <w:u w:val="single"/>
    </w:rPr>
  </w:style>
  <w:style w:type="character" w:customStyle="1" w:styleId="87">
    <w:name w:val="正文文本 2 字符"/>
    <w:qFormat/>
    <w:uiPriority w:val="0"/>
    <w:rPr>
      <w:rFonts w:ascii="宋体" w:hAnsi="宋体" w:eastAsia="宋体"/>
      <w:color w:val="000000"/>
      <w:kern w:val="0"/>
      <w:sz w:val="28"/>
      <w:szCs w:val="20"/>
      <w:u w:val="none"/>
    </w:rPr>
  </w:style>
  <w:style w:type="character" w:customStyle="1" w:styleId="88">
    <w:name w:val="正文缩进 Char1"/>
    <w:qFormat/>
    <w:locked/>
    <w:uiPriority w:val="0"/>
    <w:rPr>
      <w:kern w:val="2"/>
      <w:sz w:val="14"/>
    </w:rPr>
  </w:style>
  <w:style w:type="paragraph" w:customStyle="1" w:styleId="8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
      <w:bCs/>
      <w:color w:val="376092" w:themeColor="accent1" w:themeShade="BF"/>
      <w:kern w:val="0"/>
      <w:sz w:val="28"/>
      <w:szCs w:val="28"/>
      <w:u w:val="none"/>
    </w:rPr>
  </w:style>
  <w:style w:type="paragraph" w:customStyle="1" w:styleId="90">
    <w:name w:val="_Style 5"/>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character" w:customStyle="1" w:styleId="91">
    <w:name w:val="print"/>
    <w:basedOn w:val="32"/>
    <w:qFormat/>
    <w:uiPriority w:val="0"/>
  </w:style>
  <w:style w:type="character" w:customStyle="1" w:styleId="92">
    <w:name w:val="closes"/>
    <w:basedOn w:val="32"/>
    <w:qFormat/>
    <w:uiPriority w:val="0"/>
  </w:style>
  <w:style w:type="character" w:customStyle="1" w:styleId="93">
    <w:name w:val="正文文本 (2) + 间距 1 pt"/>
    <w:basedOn w:val="32"/>
    <w:unhideWhenUsed/>
    <w:qFormat/>
    <w:uiPriority w:val="99"/>
    <w:rPr>
      <w:rFonts w:hint="eastAsia" w:ascii="MingLiU" w:eastAsia="MingLiU"/>
      <w:spacing w:val="20"/>
      <w:sz w:val="29"/>
      <w:lang w:val="en-US"/>
    </w:rPr>
  </w:style>
  <w:style w:type="paragraph" w:customStyle="1" w:styleId="94">
    <w:name w:val="正文文本 (10)"/>
    <w:basedOn w:val="1"/>
    <w:unhideWhenUsed/>
    <w:qFormat/>
    <w:uiPriority w:val="99"/>
    <w:pPr>
      <w:shd w:val="clear" w:color="auto" w:fill="FFFFFF"/>
      <w:spacing w:before="300" w:line="609" w:lineRule="exact"/>
    </w:pPr>
    <w:rPr>
      <w:rFonts w:ascii="Gulim" w:hAnsi="Calibri" w:eastAsia="Gulim"/>
      <w:spacing w:val="20"/>
      <w:sz w:val="25"/>
    </w:rPr>
  </w:style>
  <w:style w:type="paragraph" w:customStyle="1" w:styleId="95">
    <w:name w:val="ZX-正文"/>
    <w:link w:val="96"/>
    <w:qFormat/>
    <w:uiPriority w:val="0"/>
    <w:pPr>
      <w:spacing w:beforeLines="50"/>
      <w:ind w:firstLine="480" w:firstLineChars="200"/>
    </w:pPr>
    <w:rPr>
      <w:rFonts w:ascii="Trebuchet MS" w:hAnsi="FuturaA Bk BT" w:cs="Times New Roman" w:eastAsiaTheme="majorEastAsia"/>
      <w:b/>
      <w:bCs/>
      <w:kern w:val="44"/>
      <w:sz w:val="24"/>
      <w:szCs w:val="44"/>
      <w:u w:val="single"/>
      <w:lang w:val="en-US" w:eastAsia="zh-CN" w:bidi="ar-SA"/>
    </w:rPr>
  </w:style>
  <w:style w:type="character" w:customStyle="1" w:styleId="96">
    <w:name w:val="ZX-正文 Char"/>
    <w:link w:val="95"/>
    <w:qFormat/>
    <w:uiPriority w:val="0"/>
    <w:rPr>
      <w:rFonts w:ascii="Trebuchet MS" w:hAnsi="FuturaA Bk BT"/>
      <w:sz w:val="24"/>
    </w:rPr>
  </w:style>
  <w:style w:type="paragraph" w:customStyle="1" w:styleId="97">
    <w:name w:val="正文文本 (2)"/>
    <w:basedOn w:val="1"/>
    <w:link w:val="98"/>
    <w:qFormat/>
    <w:uiPriority w:val="0"/>
    <w:pPr>
      <w:spacing w:line="559" w:lineRule="exact"/>
      <w:jc w:val="left"/>
    </w:pPr>
    <w:rPr>
      <w:rFonts w:ascii="宋体" w:hAnsi="宋体" w:eastAsia="宋体" w:cs="宋体"/>
      <w:color w:val="auto"/>
      <w:sz w:val="28"/>
      <w:szCs w:val="28"/>
    </w:rPr>
  </w:style>
  <w:style w:type="character" w:customStyle="1" w:styleId="98">
    <w:name w:val="正文文本 (2)_"/>
    <w:basedOn w:val="32"/>
    <w:link w:val="97"/>
    <w:qFormat/>
    <w:uiPriority w:val="0"/>
    <w:rPr>
      <w:rFonts w:ascii="宋体" w:hAnsi="宋体" w:eastAsia="宋体" w:cs="宋体"/>
      <w:sz w:val="28"/>
      <w:szCs w:val="28"/>
    </w:rPr>
  </w:style>
  <w:style w:type="character" w:customStyle="1" w:styleId="99">
    <w:name w:val="font71"/>
    <w:basedOn w:val="32"/>
    <w:qFormat/>
    <w:uiPriority w:val="0"/>
    <w:rPr>
      <w:rFonts w:hint="eastAsia" w:ascii="宋体" w:hAnsi="宋体" w:eastAsia="宋体" w:cs="宋体"/>
      <w:b/>
      <w:bCs/>
      <w:color w:val="000000"/>
      <w:sz w:val="24"/>
      <w:szCs w:val="24"/>
      <w:u w:val="none"/>
    </w:rPr>
  </w:style>
  <w:style w:type="paragraph" w:customStyle="1" w:styleId="100">
    <w:name w:val="其他"/>
    <w:basedOn w:val="1"/>
    <w:link w:val="101"/>
    <w:qFormat/>
    <w:uiPriority w:val="0"/>
    <w:pPr>
      <w:spacing w:line="480" w:lineRule="auto"/>
      <w:jc w:val="left"/>
    </w:pPr>
    <w:rPr>
      <w:rFonts w:ascii="宋体" w:hAnsi="宋体" w:eastAsia="宋体" w:cs="宋体"/>
      <w:color w:val="auto"/>
      <w:sz w:val="20"/>
      <w:szCs w:val="20"/>
    </w:rPr>
  </w:style>
  <w:style w:type="character" w:customStyle="1" w:styleId="101">
    <w:name w:val="其他_"/>
    <w:basedOn w:val="32"/>
    <w:link w:val="100"/>
    <w:qFormat/>
    <w:uiPriority w:val="0"/>
    <w:rPr>
      <w:rFonts w:ascii="宋体" w:hAnsi="宋体" w:eastAsia="宋体" w:cs="宋体"/>
      <w:sz w:val="20"/>
      <w:szCs w:val="20"/>
    </w:rPr>
  </w:style>
  <w:style w:type="paragraph" w:customStyle="1" w:styleId="102">
    <w:name w:val="正文文本1"/>
    <w:basedOn w:val="1"/>
    <w:link w:val="103"/>
    <w:qFormat/>
    <w:uiPriority w:val="0"/>
    <w:pPr>
      <w:spacing w:line="480" w:lineRule="auto"/>
      <w:jc w:val="left"/>
    </w:pPr>
    <w:rPr>
      <w:rFonts w:ascii="宋体" w:hAnsi="宋体" w:eastAsia="宋体" w:cs="宋体"/>
      <w:color w:val="auto"/>
      <w:sz w:val="20"/>
      <w:szCs w:val="20"/>
    </w:rPr>
  </w:style>
  <w:style w:type="character" w:customStyle="1" w:styleId="103">
    <w:name w:val="正文文本_"/>
    <w:basedOn w:val="32"/>
    <w:link w:val="102"/>
    <w:qFormat/>
    <w:uiPriority w:val="0"/>
    <w:rPr>
      <w:rFonts w:ascii="宋体" w:hAnsi="宋体" w:eastAsia="宋体" w:cs="宋体"/>
      <w:sz w:val="20"/>
      <w:szCs w:val="20"/>
    </w:rPr>
  </w:style>
  <w:style w:type="paragraph" w:customStyle="1" w:styleId="104">
    <w:name w:val="表格标题"/>
    <w:basedOn w:val="1"/>
    <w:link w:val="105"/>
    <w:qFormat/>
    <w:uiPriority w:val="0"/>
    <w:pPr>
      <w:jc w:val="left"/>
    </w:pPr>
    <w:rPr>
      <w:rFonts w:ascii="宋体" w:hAnsi="宋体" w:eastAsia="宋体" w:cs="宋体"/>
      <w:color w:val="auto"/>
      <w:sz w:val="20"/>
      <w:szCs w:val="20"/>
    </w:rPr>
  </w:style>
  <w:style w:type="character" w:customStyle="1" w:styleId="105">
    <w:name w:val="表格标题_"/>
    <w:basedOn w:val="32"/>
    <w:link w:val="104"/>
    <w:qFormat/>
    <w:uiPriority w:val="0"/>
    <w:rPr>
      <w:rFonts w:ascii="宋体" w:hAnsi="宋体" w:eastAsia="宋体" w:cs="宋体"/>
      <w:sz w:val="20"/>
      <w:szCs w:val="20"/>
    </w:rPr>
  </w:style>
  <w:style w:type="paragraph" w:customStyle="1" w:styleId="106">
    <w:name w:val="正文文本 (7)"/>
    <w:basedOn w:val="1"/>
    <w:link w:val="107"/>
    <w:qFormat/>
    <w:uiPriority w:val="0"/>
    <w:pPr>
      <w:jc w:val="left"/>
    </w:pPr>
    <w:rPr>
      <w:rFonts w:ascii="宋体" w:hAnsi="宋体" w:eastAsia="宋体" w:cs="宋体"/>
      <w:color w:val="auto"/>
      <w:sz w:val="18"/>
      <w:szCs w:val="18"/>
    </w:rPr>
  </w:style>
  <w:style w:type="character" w:customStyle="1" w:styleId="107">
    <w:name w:val="正文文本 (7)_"/>
    <w:basedOn w:val="32"/>
    <w:link w:val="106"/>
    <w:qFormat/>
    <w:uiPriority w:val="0"/>
    <w:rPr>
      <w:rFonts w:ascii="宋体" w:hAnsi="宋体" w:eastAsia="宋体" w:cs="宋体"/>
      <w:sz w:val="18"/>
      <w:szCs w:val="18"/>
    </w:rPr>
  </w:style>
  <w:style w:type="paragraph" w:customStyle="1" w:styleId="108">
    <w:name w:val="标题 #1"/>
    <w:basedOn w:val="1"/>
    <w:link w:val="109"/>
    <w:qFormat/>
    <w:uiPriority w:val="0"/>
    <w:pPr>
      <w:spacing w:after="80"/>
      <w:jc w:val="center"/>
      <w:outlineLvl w:val="0"/>
    </w:pPr>
    <w:rPr>
      <w:rFonts w:ascii="黑体" w:hAnsi="黑体" w:eastAsia="黑体" w:cs="黑体"/>
      <w:color w:val="auto"/>
      <w:sz w:val="44"/>
      <w:szCs w:val="44"/>
    </w:rPr>
  </w:style>
  <w:style w:type="character" w:customStyle="1" w:styleId="109">
    <w:name w:val="标题 #1_"/>
    <w:basedOn w:val="32"/>
    <w:link w:val="108"/>
    <w:qFormat/>
    <w:uiPriority w:val="0"/>
    <w:rPr>
      <w:rFonts w:ascii="黑体" w:hAnsi="黑体" w:eastAsia="黑体" w:cs="黑体"/>
    </w:rPr>
  </w:style>
  <w:style w:type="paragraph" w:customStyle="1" w:styleId="110">
    <w:name w:val="正文文本 (6)"/>
    <w:basedOn w:val="1"/>
    <w:link w:val="111"/>
    <w:qFormat/>
    <w:uiPriority w:val="0"/>
    <w:pPr>
      <w:ind w:firstLine="280"/>
      <w:jc w:val="left"/>
    </w:pPr>
    <w:rPr>
      <w:rFonts w:ascii="Times New Roman" w:hAnsi="Times New Roman" w:eastAsia="Times New Roman"/>
      <w:color w:val="auto"/>
      <w:sz w:val="26"/>
      <w:szCs w:val="26"/>
    </w:rPr>
  </w:style>
  <w:style w:type="character" w:customStyle="1" w:styleId="111">
    <w:name w:val="正文文本 (6)_"/>
    <w:basedOn w:val="32"/>
    <w:link w:val="110"/>
    <w:qFormat/>
    <w:uiPriority w:val="0"/>
    <w:rPr>
      <w:rFonts w:ascii="Times New Roman" w:hAnsi="Times New Roman" w:eastAsia="Times New Roman" w:cs="Times New Roman"/>
      <w:sz w:val="26"/>
      <w:szCs w:val="26"/>
    </w:rPr>
  </w:style>
  <w:style w:type="paragraph" w:customStyle="1" w:styleId="112">
    <w:name w:val="正文文本 (5)"/>
    <w:basedOn w:val="1"/>
    <w:link w:val="113"/>
    <w:qFormat/>
    <w:uiPriority w:val="0"/>
    <w:pPr>
      <w:jc w:val="center"/>
    </w:pPr>
    <w:rPr>
      <w:rFonts w:ascii="宋体" w:hAnsi="宋体" w:eastAsia="宋体" w:cs="宋体"/>
      <w:b w:val="0"/>
      <w:bCs w:val="0"/>
      <w:color w:val="auto"/>
      <w:sz w:val="32"/>
      <w:szCs w:val="32"/>
    </w:rPr>
  </w:style>
  <w:style w:type="character" w:customStyle="1" w:styleId="113">
    <w:name w:val="正文文本 (5)_"/>
    <w:basedOn w:val="32"/>
    <w:link w:val="112"/>
    <w:qFormat/>
    <w:uiPriority w:val="0"/>
    <w:rPr>
      <w:rFonts w:ascii="宋体" w:hAnsi="宋体" w:eastAsia="宋体" w:cs="宋体"/>
      <w:b/>
      <w:bCs/>
      <w:sz w:val="32"/>
      <w:szCs w:val="32"/>
    </w:rPr>
  </w:style>
  <w:style w:type="character" w:customStyle="1" w:styleId="114">
    <w:name w:val="font51"/>
    <w:basedOn w:val="32"/>
    <w:qFormat/>
    <w:uiPriority w:val="0"/>
    <w:rPr>
      <w:rFonts w:hint="eastAsia" w:ascii="宋体" w:hAnsi="宋体" w:eastAsia="宋体" w:cs="宋体"/>
      <w:color w:val="000000"/>
      <w:sz w:val="24"/>
      <w:szCs w:val="24"/>
      <w:u w:val="none"/>
    </w:rPr>
  </w:style>
  <w:style w:type="paragraph" w:customStyle="1" w:styleId="115">
    <w:name w:val="Heading #2|1"/>
    <w:basedOn w:val="1"/>
    <w:qFormat/>
    <w:uiPriority w:val="0"/>
    <w:pPr>
      <w:spacing w:after="100"/>
      <w:ind w:firstLine="480"/>
      <w:outlineLvl w:val="1"/>
    </w:pPr>
    <w:rPr>
      <w:rFonts w:asciiTheme="minorHAnsi" w:hAnsiTheme="minorHAnsi" w:eastAsiaTheme="minorEastAsia"/>
      <w:color w:val="auto"/>
      <w:sz w:val="21"/>
      <w:u w:val="none"/>
      <w:lang w:val="zh-TW" w:eastAsia="zh-TW" w:bidi="zh-TW"/>
    </w:rPr>
  </w:style>
  <w:style w:type="paragraph" w:customStyle="1" w:styleId="116">
    <w:name w:val="Body text|1"/>
    <w:basedOn w:val="1"/>
    <w:qFormat/>
    <w:uiPriority w:val="0"/>
    <w:pPr>
      <w:spacing w:after="60" w:line="365" w:lineRule="auto"/>
      <w:ind w:firstLine="400"/>
    </w:pPr>
    <w:rPr>
      <w:rFonts w:ascii="宋体" w:hAnsi="宋体" w:eastAsia="宋体" w:cs="宋体"/>
      <w:color w:val="auto"/>
      <w:sz w:val="22"/>
      <w:szCs w:val="22"/>
      <w:u w:val="none"/>
      <w:lang w:val="zh-TW" w:eastAsia="zh-TW" w:bidi="zh-TW"/>
    </w:rPr>
  </w:style>
  <w:style w:type="paragraph" w:customStyle="1" w:styleId="117">
    <w:name w:val="Header or footer|1"/>
    <w:basedOn w:val="1"/>
    <w:qFormat/>
    <w:uiPriority w:val="0"/>
    <w:rPr>
      <w:rFonts w:asciiTheme="minorHAnsi" w:hAnsiTheme="minorHAnsi" w:eastAsiaTheme="minorEastAsia"/>
      <w:color w:val="auto"/>
      <w:sz w:val="17"/>
      <w:szCs w:val="17"/>
      <w:u w:val="none"/>
      <w:lang w:val="zh-TW" w:eastAsia="zh-TW" w:bidi="zh-TW"/>
    </w:rPr>
  </w:style>
  <w:style w:type="character" w:customStyle="1" w:styleId="118">
    <w:name w:val="NormalCharacter"/>
    <w:semiHidden/>
    <w:qFormat/>
    <w:uiPriority w:val="0"/>
  </w:style>
  <w:style w:type="paragraph" w:customStyle="1" w:styleId="119">
    <w:name w:val="1-正文新"/>
    <w:basedOn w:val="1"/>
    <w:qFormat/>
    <w:uiPriority w:val="0"/>
    <w:pPr>
      <w:overflowPunct w:val="0"/>
      <w:spacing w:line="594" w:lineRule="exact"/>
      <w:ind w:firstLine="964" w:firstLineChars="200"/>
      <w:jc w:val="center"/>
    </w:pPr>
    <w:rPr>
      <w:rFonts w:ascii="黑体" w:hAnsi="黑体" w:eastAsia="黑体"/>
      <w:color w:val="FF0000"/>
      <w:sz w:val="48"/>
      <w:szCs w:val="48"/>
      <w:u w:val="none"/>
    </w:rPr>
  </w:style>
  <w:style w:type="paragraph" w:customStyle="1" w:styleId="120">
    <w:name w:val="Table Paragraph"/>
    <w:basedOn w:val="1"/>
    <w:qFormat/>
    <w:uiPriority w:val="1"/>
    <w:rPr>
      <w:rFonts w:asciiTheme="minorHAnsi" w:hAnsiTheme="minorHAnsi" w:eastAsiaTheme="minorEastAsia"/>
      <w:color w:val="auto"/>
      <w:sz w:val="21"/>
      <w:u w:val="none"/>
    </w:rPr>
  </w:style>
  <w:style w:type="character" w:customStyle="1" w:styleId="121">
    <w:name w:val="font61"/>
    <w:basedOn w:val="32"/>
    <w:qFormat/>
    <w:uiPriority w:val="0"/>
    <w:rPr>
      <w:rFonts w:hint="eastAsia" w:ascii="宋体" w:hAnsi="宋体" w:eastAsia="宋体" w:cs="宋体"/>
      <w:color w:val="FF0000"/>
      <w:sz w:val="24"/>
      <w:szCs w:val="24"/>
      <w:u w:val="none"/>
    </w:rPr>
  </w:style>
  <w:style w:type="character" w:customStyle="1" w:styleId="122">
    <w:name w:val="font81"/>
    <w:basedOn w:val="32"/>
    <w:qFormat/>
    <w:uiPriority w:val="0"/>
    <w:rPr>
      <w:rFonts w:hint="eastAsia" w:ascii="宋体" w:hAnsi="宋体" w:eastAsia="宋体" w:cs="宋体"/>
      <w:b/>
      <w:bCs/>
      <w:color w:val="FF0000"/>
      <w:sz w:val="24"/>
      <w:szCs w:val="24"/>
      <w:u w:val="none"/>
    </w:rPr>
  </w:style>
  <w:style w:type="character" w:customStyle="1" w:styleId="123">
    <w:name w:val="font91"/>
    <w:basedOn w:val="32"/>
    <w:qFormat/>
    <w:uiPriority w:val="0"/>
    <w:rPr>
      <w:rFonts w:hint="eastAsia" w:ascii="宋体" w:hAnsi="宋体" w:eastAsia="宋体" w:cs="宋体"/>
      <w:b/>
      <w:bCs/>
      <w:color w:val="auto"/>
      <w:sz w:val="24"/>
      <w:szCs w:val="24"/>
      <w:u w:val="none"/>
    </w:rPr>
  </w:style>
  <w:style w:type="character" w:customStyle="1" w:styleId="124">
    <w:name w:val="font111"/>
    <w:basedOn w:val="32"/>
    <w:qFormat/>
    <w:uiPriority w:val="0"/>
    <w:rPr>
      <w:rFonts w:hint="eastAsia" w:ascii="宋体" w:hAnsi="宋体" w:eastAsia="宋体" w:cs="宋体"/>
      <w:color w:val="FF0000"/>
      <w:sz w:val="24"/>
      <w:szCs w:val="24"/>
      <w:u w:val="none"/>
    </w:rPr>
  </w:style>
  <w:style w:type="character" w:customStyle="1" w:styleId="125">
    <w:name w:val="font01"/>
    <w:basedOn w:val="32"/>
    <w:qFormat/>
    <w:uiPriority w:val="0"/>
    <w:rPr>
      <w:rFonts w:hint="eastAsia" w:ascii="宋体" w:hAnsi="宋体" w:eastAsia="宋体" w:cs="宋体"/>
      <w:color w:val="000000"/>
      <w:sz w:val="22"/>
      <w:szCs w:val="22"/>
      <w:u w:val="none"/>
    </w:rPr>
  </w:style>
  <w:style w:type="paragraph" w:customStyle="1" w:styleId="126">
    <w:name w:val="Body text|2"/>
    <w:basedOn w:val="1"/>
    <w:qFormat/>
    <w:uiPriority w:val="0"/>
    <w:rPr>
      <w:rFonts w:ascii="宋体" w:hAnsi="宋体" w:eastAsia="宋体" w:cs="宋体"/>
      <w:color w:val="auto"/>
      <w:sz w:val="19"/>
      <w:szCs w:val="19"/>
      <w:u w:val="none"/>
      <w:lang w:val="zh-TW" w:eastAsia="zh-TW" w:bidi="zh-TW"/>
    </w:rPr>
  </w:style>
  <w:style w:type="paragraph" w:customStyle="1" w:styleId="127">
    <w:name w:val="Other|1"/>
    <w:basedOn w:val="1"/>
    <w:qFormat/>
    <w:uiPriority w:val="0"/>
    <w:rPr>
      <w:rFonts w:ascii="宋体" w:hAnsi="宋体" w:eastAsia="宋体" w:cs="宋体"/>
      <w:color w:val="auto"/>
      <w:sz w:val="19"/>
      <w:szCs w:val="19"/>
      <w:u w:val="none"/>
      <w:lang w:val="zh-TW" w:eastAsia="zh-TW" w:bidi="zh-TW"/>
    </w:rPr>
  </w:style>
  <w:style w:type="paragraph" w:customStyle="1" w:styleId="128">
    <w:name w:val="TOC 标题2"/>
    <w:basedOn w:val="2"/>
    <w:next w:val="1"/>
    <w:semiHidden/>
    <w:unhideWhenUsed/>
    <w:qFormat/>
    <w:uiPriority w:val="39"/>
    <w:pPr>
      <w:widowControl/>
      <w:spacing w:beforeLines="50" w:afterLines="50" w:line="276" w:lineRule="auto"/>
      <w:jc w:val="left"/>
      <w:outlineLvl w:val="9"/>
    </w:pPr>
    <w:rPr>
      <w:rFonts w:asciiTheme="majorHAnsi" w:hAnsiTheme="majorHAnsi" w:eastAsiaTheme="majorEastAsia" w:cstheme="majorBidi"/>
      <w:b/>
      <w:bCs/>
      <w:color w:val="376092" w:themeColor="accent1" w:themeShade="BF"/>
      <w:kern w:val="0"/>
      <w:sz w:val="28"/>
      <w:szCs w:val="28"/>
      <w:u w:val="none"/>
    </w:rPr>
  </w:style>
  <w:style w:type="paragraph" w:customStyle="1" w:styleId="129">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
      <w:bCs/>
      <w:color w:val="376092" w:themeColor="accent1" w:themeShade="BF"/>
      <w:kern w:val="0"/>
      <w:sz w:val="28"/>
      <w:szCs w:val="28"/>
      <w:u w:val="none"/>
    </w:rPr>
  </w:style>
  <w:style w:type="character" w:customStyle="1" w:styleId="130">
    <w:name w:val="bgr"/>
    <w:basedOn w:val="32"/>
    <w:qFormat/>
    <w:uiPriority w:val="0"/>
  </w:style>
  <w:style w:type="character" w:customStyle="1" w:styleId="131">
    <w:name w:val="标题 5 字符"/>
    <w:link w:val="7"/>
    <w:qFormat/>
    <w:uiPriority w:val="0"/>
    <w:rPr>
      <w:b/>
      <w:sz w:val="28"/>
    </w:rPr>
  </w:style>
  <w:style w:type="paragraph" w:customStyle="1" w:styleId="132">
    <w:name w:val="修订1"/>
    <w:hidden/>
    <w:unhideWhenUsed/>
    <w:qFormat/>
    <w:uiPriority w:val="99"/>
    <w:rPr>
      <w:rFonts w:ascii="Book Antiqua" w:hAnsi="Book Antiqua" w:eastAsia="隶书" w:cs="Times New Roman"/>
      <w:b/>
      <w:bCs/>
      <w:color w:val="CCCCFF"/>
      <w:kern w:val="44"/>
      <w:sz w:val="72"/>
      <w:szCs w:val="24"/>
      <w:u w:val="single"/>
      <w:lang w:val="en-US" w:eastAsia="zh-CN" w:bidi="ar-SA"/>
    </w:rPr>
  </w:style>
  <w:style w:type="paragraph" w:customStyle="1" w:styleId="133">
    <w:name w:val="修订2"/>
    <w:hidden/>
    <w:unhideWhenUsed/>
    <w:qFormat/>
    <w:uiPriority w:val="99"/>
    <w:rPr>
      <w:rFonts w:ascii="Book Antiqua" w:hAnsi="Book Antiqua" w:eastAsia="隶书" w:cs="Times New Roman"/>
      <w:b/>
      <w:bCs/>
      <w:color w:val="CCCCFF"/>
      <w:kern w:val="44"/>
      <w:sz w:val="72"/>
      <w:szCs w:val="24"/>
      <w:u w:val="single"/>
      <w:lang w:val="en-US" w:eastAsia="zh-CN" w:bidi="ar-SA"/>
    </w:rPr>
  </w:style>
  <w:style w:type="paragraph" w:customStyle="1" w:styleId="134">
    <w:name w:val="修订3"/>
    <w:hidden/>
    <w:unhideWhenUsed/>
    <w:qFormat/>
    <w:uiPriority w:val="99"/>
    <w:rPr>
      <w:rFonts w:ascii="Book Antiqua" w:hAnsi="Book Antiqua" w:eastAsia="隶书" w:cs="Times New Roman"/>
      <w:b/>
      <w:bCs/>
      <w:color w:val="CCCCFF"/>
      <w:kern w:val="44"/>
      <w:sz w:val="72"/>
      <w:szCs w:val="24"/>
      <w:u w:val="singl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33</Pages>
  <Words>10643</Words>
  <Characters>11685</Characters>
  <Lines>88</Lines>
  <Paragraphs>24</Paragraphs>
  <TotalTime>8</TotalTime>
  <ScaleCrop>false</ScaleCrop>
  <LinksUpToDate>false</LinksUpToDate>
  <CharactersWithSpaces>11845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2024-11-26T03:28:00Z</dcterms:created>
  <dc:creator>1</dc:creator>
  <cp:lastModifiedBy>chenZM</cp:lastModifiedBy>
  <cp:lastPrinted>2025-02-24T07:27:00Z</cp:lastPrinted>
  <dcterms:modified xsi:type="dcterms:W3CDTF">2025-03-14T01:24:49Z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9655F8E4CBF44293927457A164D57604</vt:lpwstr>
  </property>
  <property fmtid="{D5CDD505-2E9C-101B-9397-08002B2CF9AE}" pid="4" name="KSOTemplateDocerSaveRecord">
    <vt:lpwstr>eyJoZGlkIjoiYTlhZmNkNTMxMTNhZDk0YTVlMjIwODMzODQ3OTdkOWUiLCJ1c2VySWQiOiI0MDU3OTAzNzUifQ==</vt:lpwstr>
  </property>
</Properties>
</file>