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黑体" w:eastAsia="方正小标宋简体" w:cs="Arial"/>
          <w:bCs/>
          <w:color w:val="000000"/>
          <w:sz w:val="44"/>
          <w:szCs w:val="44"/>
        </w:rPr>
      </w:pPr>
      <w:bookmarkStart w:id="0" w:name="_GoBack"/>
      <w:bookmarkEnd w:id="0"/>
      <w:r>
        <w:rPr>
          <w:rFonts w:hint="eastAsia" w:ascii="方正小标宋简体" w:hAnsi="黑体" w:eastAsia="方正小标宋简体" w:cs="Arial"/>
          <w:bCs/>
          <w:color w:val="000000"/>
          <w:sz w:val="44"/>
          <w:szCs w:val="44"/>
        </w:rPr>
        <w:t>凤凰黄河大桥南延工程项目（历城段）</w:t>
      </w:r>
    </w:p>
    <w:p>
      <w:pPr>
        <w:spacing w:line="580" w:lineRule="exact"/>
        <w:ind w:firstLine="660" w:firstLineChars="150"/>
        <w:jc w:val="center"/>
        <w:rPr>
          <w:rFonts w:ascii="方正小标宋简体" w:hAnsi="黑体" w:eastAsia="方正小标宋简体" w:cs="Arial"/>
          <w:bCs/>
          <w:color w:val="000000"/>
          <w:sz w:val="44"/>
          <w:szCs w:val="44"/>
        </w:rPr>
      </w:pPr>
      <w:r>
        <w:rPr>
          <w:rFonts w:hint="eastAsia" w:ascii="方正小标宋简体" w:hAnsi="黑体" w:eastAsia="方正小标宋简体" w:cs="Arial"/>
          <w:bCs/>
          <w:color w:val="000000"/>
          <w:sz w:val="44"/>
          <w:szCs w:val="44"/>
        </w:rPr>
        <w:t>房屋征收补偿方案</w:t>
      </w:r>
    </w:p>
    <w:p>
      <w:pPr>
        <w:spacing w:line="580" w:lineRule="exact"/>
        <w:ind w:firstLine="480" w:firstLineChars="150"/>
        <w:jc w:val="center"/>
        <w:rPr>
          <w:rFonts w:ascii="楷体_GB2312" w:hAnsi="黑体" w:eastAsia="楷体_GB2312" w:cs="Times New Roman"/>
          <w:color w:val="000000"/>
          <w:sz w:val="32"/>
          <w:szCs w:val="32"/>
        </w:rPr>
      </w:pPr>
    </w:p>
    <w:p>
      <w:pPr>
        <w:spacing w:line="600" w:lineRule="exact"/>
        <w:ind w:firstLine="640" w:firstLineChars="200"/>
        <w:rPr>
          <w:rFonts w:ascii="仿宋_GB2312" w:hAnsi="仿宋" w:eastAsia="仿宋_GB2312" w:cs="Arial"/>
          <w:color w:val="000000"/>
          <w:sz w:val="32"/>
          <w:szCs w:val="32"/>
        </w:rPr>
      </w:pPr>
      <w:r>
        <w:rPr>
          <w:rFonts w:hint="eastAsia" w:ascii="仿宋_GB2312" w:hAnsi="宋体" w:eastAsia="仿宋_GB2312" w:cs="Times New Roman"/>
          <w:color w:val="000000"/>
          <w:sz w:val="32"/>
          <w:szCs w:val="32"/>
        </w:rPr>
        <w:t>因</w:t>
      </w:r>
      <w:r>
        <w:rPr>
          <w:rFonts w:hint="eastAsia" w:ascii="仿宋_GB2312" w:hAnsi="仿宋" w:eastAsia="仿宋_GB2312" w:cs="Arial"/>
          <w:sz w:val="32"/>
          <w:szCs w:val="32"/>
        </w:rPr>
        <w:t>凤凰黄河大桥南延工程项目（历城段）</w:t>
      </w:r>
      <w:r>
        <w:rPr>
          <w:rFonts w:hint="eastAsia" w:ascii="仿宋_GB2312" w:hAnsi="宋体" w:eastAsia="仿宋_GB2312" w:cs="Times New Roman"/>
          <w:color w:val="000000"/>
          <w:sz w:val="32"/>
          <w:szCs w:val="32"/>
        </w:rPr>
        <w:t>建设需要，济南市历</w:t>
      </w:r>
      <w:r>
        <w:rPr>
          <w:rFonts w:hint="eastAsia" w:ascii="仿宋_GB2312" w:hAnsi="仿宋" w:eastAsia="仿宋_GB2312" w:cs="Arial"/>
          <w:color w:val="000000"/>
          <w:sz w:val="32"/>
          <w:szCs w:val="32"/>
        </w:rPr>
        <w:t>城区人民政府决定对</w:t>
      </w:r>
      <w:r>
        <w:rPr>
          <w:rFonts w:hint="eastAsia" w:ascii="仿宋_GB2312" w:hAnsi="仿宋" w:eastAsia="仿宋_GB2312" w:cs="Arial"/>
          <w:sz w:val="32"/>
          <w:szCs w:val="32"/>
        </w:rPr>
        <w:t>凤凰黄河大桥南延工程项目（历城段）</w:t>
      </w:r>
      <w:r>
        <w:rPr>
          <w:rFonts w:hint="eastAsia" w:ascii="仿宋_GB2312" w:hAnsi="仿宋" w:eastAsia="仿宋_GB2312" w:cs="Times New Roman"/>
          <w:color w:val="000000"/>
          <w:sz w:val="32"/>
          <w:szCs w:val="32"/>
        </w:rPr>
        <w:t>规划范围内国</w:t>
      </w:r>
      <w:r>
        <w:rPr>
          <w:rFonts w:hint="eastAsia" w:ascii="仿宋_GB2312" w:hAnsi="仿宋" w:eastAsia="仿宋_GB2312" w:cs="Arial"/>
          <w:color w:val="000000"/>
          <w:sz w:val="32"/>
          <w:szCs w:val="32"/>
        </w:rPr>
        <w:t>有土地上房屋进行征收。根据</w:t>
      </w:r>
      <w:r>
        <w:rPr>
          <w:rFonts w:hint="eastAsia" w:ascii="仿宋_GB2312" w:hAnsi="仿宋" w:eastAsia="仿宋_GB2312" w:cs="Times New Roman"/>
          <w:color w:val="000000"/>
          <w:sz w:val="32"/>
          <w:szCs w:val="32"/>
        </w:rPr>
        <w:t>《国有土地上房屋征收与补偿条例》（国务院令第590号）、</w:t>
      </w:r>
      <w:r>
        <w:rPr>
          <w:rFonts w:hint="eastAsia" w:ascii="仿宋_GB2312" w:hAnsi="宋体" w:eastAsia="仿宋_GB2312" w:cs="Times New Roman"/>
          <w:color w:val="000000"/>
          <w:sz w:val="32"/>
          <w:szCs w:val="32"/>
        </w:rPr>
        <w:t>《山东省国有土地上房屋征收与补偿条例》</w:t>
      </w:r>
      <w:r>
        <w:rPr>
          <w:rFonts w:hint="eastAsia" w:ascii="仿宋_GB2312" w:hAnsi="仿宋" w:eastAsia="仿宋_GB2312" w:cs="Times New Roman"/>
          <w:color w:val="000000"/>
          <w:sz w:val="32"/>
          <w:szCs w:val="32"/>
        </w:rPr>
        <w:t>《济南市国有土地上房屋征收与补偿办法》（</w:t>
      </w:r>
      <w:r>
        <w:rPr>
          <w:rFonts w:hint="eastAsia" w:ascii="仿宋_GB2312" w:hAnsi="宋体" w:eastAsia="仿宋_GB2312" w:cs="Times New Roman"/>
          <w:color w:val="000000"/>
          <w:sz w:val="32"/>
          <w:szCs w:val="32"/>
        </w:rPr>
        <w:t>市政府令第248号，经市政府令第285号修订，</w:t>
      </w:r>
      <w:r>
        <w:rPr>
          <w:rFonts w:hint="eastAsia" w:ascii="仿宋_GB2312" w:hAnsi="仿宋" w:eastAsia="仿宋_GB2312" w:cs="Times New Roman"/>
          <w:color w:val="000000"/>
          <w:sz w:val="32"/>
          <w:szCs w:val="32"/>
        </w:rPr>
        <w:t>以下简称《办法》）、《&lt;济南市国有土地上房屋征收与补偿办法&gt;实施细则》（济政办发〔2024〕4号）等相关规定，制定本方案。</w:t>
      </w:r>
    </w:p>
    <w:p>
      <w:pPr>
        <w:spacing w:line="600" w:lineRule="exact"/>
        <w:ind w:left="640"/>
        <w:rPr>
          <w:rFonts w:ascii="黑体" w:hAnsi="黑体" w:eastAsia="黑体" w:cs="Arial"/>
          <w:color w:val="000000"/>
          <w:sz w:val="32"/>
          <w:szCs w:val="32"/>
        </w:rPr>
      </w:pPr>
      <w:r>
        <w:rPr>
          <w:rFonts w:hint="eastAsia" w:ascii="黑体" w:hAnsi="黑体" w:eastAsia="黑体" w:cs="Arial"/>
          <w:bCs/>
          <w:color w:val="000000"/>
          <w:sz w:val="32"/>
          <w:szCs w:val="32"/>
        </w:rPr>
        <w:t>一、房屋征收范围及</w:t>
      </w:r>
      <w:r>
        <w:rPr>
          <w:rFonts w:hint="eastAsia" w:ascii="黑体" w:hAnsi="黑体" w:eastAsia="黑体" w:cs="Arial"/>
          <w:color w:val="000000"/>
          <w:sz w:val="32"/>
          <w:szCs w:val="32"/>
        </w:rPr>
        <w:t>被征收房屋和附属物情况</w:t>
      </w:r>
    </w:p>
    <w:p>
      <w:pPr>
        <w:spacing w:line="600" w:lineRule="exact"/>
        <w:ind w:firstLine="640" w:firstLineChars="200"/>
        <w:rPr>
          <w:rFonts w:ascii="楷体_GB2312" w:hAnsi="楷体" w:eastAsia="楷体_GB2312" w:cs="Arial"/>
          <w:color w:val="000000"/>
          <w:sz w:val="32"/>
          <w:szCs w:val="32"/>
        </w:rPr>
      </w:pPr>
      <w:r>
        <w:rPr>
          <w:rFonts w:hint="eastAsia" w:ascii="楷体_GB2312" w:hAnsi="楷体" w:eastAsia="楷体_GB2312" w:cs="Arial"/>
          <w:color w:val="000000"/>
          <w:sz w:val="32"/>
          <w:szCs w:val="32"/>
        </w:rPr>
        <w:t>（一）房屋征收范围</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olor w:val="000000"/>
          <w:sz w:val="32"/>
          <w:szCs w:val="32"/>
        </w:rPr>
        <w:t>房屋征收范围为</w:t>
      </w:r>
      <w:r>
        <w:rPr>
          <w:rFonts w:hint="eastAsia" w:ascii="仿宋_GB2312" w:hAnsi="仿宋" w:eastAsia="仿宋_GB2312" w:cs="Arial"/>
          <w:color w:val="000000"/>
          <w:sz w:val="32"/>
          <w:szCs w:val="32"/>
        </w:rPr>
        <w:t>：项目征收范围</w:t>
      </w:r>
      <w:r>
        <w:rPr>
          <w:rFonts w:hint="eastAsia" w:ascii="仿宋_GB2312" w:hAnsi="仿宋" w:eastAsia="仿宋_GB2312" w:cs="Times New Roman"/>
          <w:sz w:val="32"/>
          <w:szCs w:val="32"/>
        </w:rPr>
        <w:t>南起凤凰路隧道北洞口，向北再转向东沿规划凤凰路-荷花路快速路，东至机场高速东约750米处，不包含高新区及历下区部分。</w:t>
      </w:r>
      <w:r>
        <w:rPr>
          <w:rFonts w:hint="eastAsia" w:ascii="仿宋_GB2312" w:hAnsi="Calibri" w:eastAsia="仿宋_GB2312" w:cs="Times New Roman"/>
          <w:sz w:val="32"/>
          <w:szCs w:val="32"/>
        </w:rPr>
        <w:t>详见项目规划用地范围附图，以上范围不包括集体土地部分。</w:t>
      </w:r>
    </w:p>
    <w:p>
      <w:pPr>
        <w:spacing w:line="600" w:lineRule="exact"/>
        <w:ind w:firstLine="640" w:firstLineChars="200"/>
        <w:rPr>
          <w:rFonts w:ascii="楷体_GB2312" w:hAnsi="楷体" w:eastAsia="楷体_GB2312" w:cs="Arial"/>
          <w:color w:val="000000"/>
          <w:sz w:val="32"/>
          <w:szCs w:val="32"/>
        </w:rPr>
      </w:pPr>
      <w:r>
        <w:rPr>
          <w:rFonts w:hint="eastAsia" w:ascii="楷体_GB2312" w:hAnsi="楷体" w:eastAsia="楷体_GB2312" w:cs="Arial"/>
          <w:color w:val="000000"/>
          <w:sz w:val="32"/>
          <w:szCs w:val="32"/>
        </w:rPr>
        <w:t>（二）被征收房屋及其附属物的情况</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根据调查摸底情况</w:t>
      </w:r>
      <w:r>
        <w:rPr>
          <w:rFonts w:hint="eastAsia" w:ascii="仿宋_GB2312" w:hAnsi="楷体" w:eastAsia="仿宋_GB2312" w:cs="Arial"/>
          <w:color w:val="000000"/>
          <w:sz w:val="32"/>
          <w:szCs w:val="32"/>
        </w:rPr>
        <w:t>，</w:t>
      </w:r>
      <w:r>
        <w:rPr>
          <w:rFonts w:hint="eastAsia" w:ascii="仿宋_GB2312" w:hAnsi="仿宋" w:eastAsia="仿宋_GB2312" w:cs="Arial"/>
          <w:color w:val="000000"/>
          <w:sz w:val="32"/>
          <w:szCs w:val="32"/>
        </w:rPr>
        <w:t>房屋征收规划红线范围内共涉及</w:t>
      </w:r>
      <w:r>
        <w:rPr>
          <w:rFonts w:hint="eastAsia" w:ascii="仿宋_GB2312" w:hAnsi="仿宋" w:eastAsia="仿宋_GB2312" w:cs="仿宋"/>
          <w:color w:val="000000"/>
          <w:sz w:val="32"/>
          <w:szCs w:val="32"/>
        </w:rPr>
        <w:t>非住宅1户，房屋面积约2639平方米</w:t>
      </w:r>
      <w:r>
        <w:rPr>
          <w:rFonts w:hint="eastAsia" w:ascii="仿宋_GB2312" w:hAnsi="仿宋" w:eastAsia="仿宋_GB2312" w:cs="Arial"/>
          <w:color w:val="000000"/>
          <w:sz w:val="32"/>
          <w:szCs w:val="32"/>
        </w:rPr>
        <w:t xml:space="preserve">。   </w:t>
      </w:r>
    </w:p>
    <w:p>
      <w:pPr>
        <w:spacing w:line="600" w:lineRule="exact"/>
        <w:ind w:firstLine="640" w:firstLineChars="200"/>
        <w:rPr>
          <w:rFonts w:ascii="黑体" w:hAnsi="黑体" w:eastAsia="黑体" w:cs="Arial"/>
          <w:bCs/>
          <w:color w:val="000000"/>
          <w:sz w:val="32"/>
          <w:szCs w:val="32"/>
        </w:rPr>
      </w:pPr>
      <w:r>
        <w:rPr>
          <w:rFonts w:hint="eastAsia" w:ascii="黑体" w:hAnsi="黑体" w:eastAsia="黑体" w:cs="Arial"/>
          <w:bCs/>
          <w:color w:val="000000"/>
          <w:sz w:val="32"/>
          <w:szCs w:val="32"/>
        </w:rPr>
        <w:t>二、房屋征收部门、征收实施单位、项目实施单位</w:t>
      </w:r>
    </w:p>
    <w:p>
      <w:pPr>
        <w:tabs>
          <w:tab w:val="left" w:pos="6873"/>
        </w:tabs>
        <w:spacing w:line="60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房屋征收部门：济南市历城区住房和城乡建设局</w:t>
      </w:r>
      <w:r>
        <w:rPr>
          <w:rFonts w:hint="eastAsia" w:ascii="仿宋_GB2312" w:hAnsi="宋体" w:eastAsia="仿宋_GB2312" w:cs="Times New Roman"/>
          <w:color w:val="000000"/>
          <w:sz w:val="32"/>
          <w:szCs w:val="32"/>
        </w:rPr>
        <w:tab/>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征收实施单位：济南市历城区公用事业和房屋征收服务中心</w:t>
      </w:r>
    </w:p>
    <w:p>
      <w:pPr>
        <w:spacing w:line="600" w:lineRule="exact"/>
        <w:ind w:firstLine="640" w:firstLineChars="200"/>
        <w:rPr>
          <w:rFonts w:ascii="仿宋_GB2312" w:hAnsi="宋体" w:eastAsia="仿宋_GB2312" w:cs="Times New Roman"/>
          <w:color w:val="000000"/>
          <w:sz w:val="32"/>
          <w:szCs w:val="32"/>
        </w:rPr>
      </w:pPr>
      <w:r>
        <w:rPr>
          <w:rFonts w:hint="eastAsia" w:ascii="仿宋_GB2312" w:hAnsi="仿宋" w:eastAsia="仿宋_GB2312" w:cs="Times New Roman"/>
          <w:color w:val="000000"/>
          <w:sz w:val="32"/>
          <w:szCs w:val="32"/>
        </w:rPr>
        <w:t>项目实施单位：</w:t>
      </w:r>
      <w:r>
        <w:rPr>
          <w:rFonts w:hint="eastAsia" w:ascii="仿宋_GB2312" w:hAnsi="宋体" w:eastAsia="仿宋_GB2312" w:cs="Times New Roman"/>
          <w:color w:val="000000"/>
          <w:sz w:val="32"/>
          <w:szCs w:val="32"/>
        </w:rPr>
        <w:t>济南轨道交通集团建设投资有限公司</w:t>
      </w:r>
    </w:p>
    <w:p>
      <w:pPr>
        <w:tabs>
          <w:tab w:val="left" w:pos="6873"/>
        </w:tabs>
        <w:spacing w:line="600" w:lineRule="exact"/>
        <w:ind w:firstLine="640" w:firstLineChars="200"/>
        <w:rPr>
          <w:rFonts w:ascii="黑体" w:hAnsi="黑体" w:eastAsia="黑体" w:cs="Arial"/>
          <w:color w:val="000000"/>
          <w:sz w:val="32"/>
          <w:szCs w:val="32"/>
        </w:rPr>
      </w:pPr>
      <w:r>
        <w:rPr>
          <w:rFonts w:hint="eastAsia" w:ascii="黑体" w:hAnsi="黑体" w:eastAsia="黑体" w:cs="Arial"/>
          <w:bCs/>
          <w:color w:val="000000"/>
          <w:sz w:val="32"/>
          <w:szCs w:val="32"/>
        </w:rPr>
        <w:t>三、征收补偿</w:t>
      </w:r>
      <w:r>
        <w:rPr>
          <w:rFonts w:hint="eastAsia" w:ascii="黑体" w:hAnsi="黑体" w:eastAsia="黑体" w:cs="Arial"/>
          <w:bCs/>
          <w:sz w:val="32"/>
          <w:szCs w:val="32"/>
        </w:rPr>
        <w:t>签约期限等</w:t>
      </w:r>
      <w:r>
        <w:rPr>
          <w:rFonts w:hint="eastAsia" w:ascii="黑体" w:hAnsi="黑体" w:eastAsia="黑体" w:cs="Arial"/>
          <w:bCs/>
          <w:color w:val="000000"/>
          <w:sz w:val="32"/>
          <w:szCs w:val="32"/>
        </w:rPr>
        <w:t>有关事项</w:t>
      </w:r>
    </w:p>
    <w:p>
      <w:pPr>
        <w:spacing w:line="600" w:lineRule="exact"/>
        <w:ind w:firstLine="640" w:firstLineChars="200"/>
        <w:rPr>
          <w:rFonts w:ascii="仿宋_GB2312" w:hAnsi="仿宋" w:eastAsia="仿宋_GB2312" w:cs="Arial"/>
          <w:color w:val="000000"/>
          <w:sz w:val="32"/>
          <w:szCs w:val="32"/>
        </w:rPr>
      </w:pPr>
      <w:r>
        <w:rPr>
          <w:rFonts w:hint="eastAsia" w:ascii="仿宋_GB2312" w:hAnsi="仿宋" w:eastAsia="仿宋_GB2312" w:cs="Arial"/>
          <w:color w:val="000000"/>
          <w:sz w:val="32"/>
          <w:szCs w:val="32"/>
        </w:rPr>
        <w:t>征收补偿签约期限共</w:t>
      </w:r>
      <w:r>
        <w:rPr>
          <w:rFonts w:ascii="仿宋_GB2312" w:hAnsi="仿宋" w:eastAsia="仿宋_GB2312" w:cs="Arial"/>
          <w:color w:val="000000"/>
          <w:sz w:val="32"/>
          <w:szCs w:val="32"/>
        </w:rPr>
        <w:t>7日</w:t>
      </w:r>
      <w:r>
        <w:rPr>
          <w:rFonts w:hint="eastAsia" w:ascii="仿宋_GB2312" w:hAnsi="仿宋" w:eastAsia="仿宋_GB2312" w:cs="Arial"/>
          <w:color w:val="000000"/>
          <w:sz w:val="32"/>
          <w:szCs w:val="32"/>
        </w:rPr>
        <w:t>，</w:t>
      </w:r>
      <w:r>
        <w:rPr>
          <w:rFonts w:hint="eastAsia" w:ascii="仿宋_GB2312" w:hAnsi="仿宋" w:eastAsia="仿宋_GB2312" w:cs="Times New Roman"/>
          <w:color w:val="000000"/>
          <w:sz w:val="32"/>
          <w:szCs w:val="32"/>
        </w:rPr>
        <w:t>起止时间以房屋征收决定公告为准。</w:t>
      </w:r>
    </w:p>
    <w:p>
      <w:pPr>
        <w:spacing w:line="600" w:lineRule="exact"/>
        <w:ind w:firstLine="640" w:firstLineChars="200"/>
        <w:rPr>
          <w:rFonts w:ascii="黑体" w:hAnsi="黑体" w:eastAsia="黑体" w:cs="Arial"/>
          <w:color w:val="000000"/>
          <w:sz w:val="32"/>
          <w:szCs w:val="32"/>
        </w:rPr>
      </w:pPr>
      <w:r>
        <w:rPr>
          <w:rFonts w:hint="eastAsia" w:ascii="黑体" w:hAnsi="黑体" w:eastAsia="黑体" w:cs="Arial"/>
          <w:bCs/>
          <w:color w:val="000000"/>
          <w:sz w:val="32"/>
          <w:szCs w:val="32"/>
        </w:rPr>
        <w:t>四、征收补偿方式及标准</w:t>
      </w:r>
    </w:p>
    <w:p>
      <w:pPr>
        <w:spacing w:line="580" w:lineRule="exact"/>
        <w:ind w:firstLine="640" w:firstLineChars="200"/>
        <w:rPr>
          <w:rFonts w:ascii="仿宋_GB2312" w:hAnsi="仿宋" w:eastAsia="仿宋_GB2312" w:cs="Times New Roman"/>
          <w:bCs/>
          <w:color w:val="000000"/>
          <w:sz w:val="32"/>
          <w:szCs w:val="32"/>
        </w:rPr>
      </w:pPr>
      <w:r>
        <w:rPr>
          <w:rFonts w:hint="eastAsia" w:ascii="仿宋_GB2312" w:hAnsi="仿宋" w:eastAsia="仿宋_GB2312" w:cs="Times New Roman"/>
          <w:bCs/>
          <w:color w:val="000000"/>
          <w:sz w:val="32"/>
          <w:szCs w:val="32"/>
        </w:rPr>
        <w:t>征收补偿方式：货币补偿和产权调换。</w:t>
      </w:r>
    </w:p>
    <w:p>
      <w:pPr>
        <w:spacing w:line="600" w:lineRule="exact"/>
        <w:ind w:firstLine="640" w:firstLineChars="200"/>
        <w:rPr>
          <w:rFonts w:ascii="仿宋_GB2312" w:hAnsi="仿宋" w:eastAsia="仿宋_GB2312" w:cs="Times New Roman"/>
          <w:b/>
          <w:color w:val="000000"/>
          <w:sz w:val="32"/>
          <w:szCs w:val="32"/>
        </w:rPr>
      </w:pPr>
      <w:r>
        <w:rPr>
          <w:rFonts w:hint="eastAsia" w:ascii="仿宋_GB2312" w:hAnsi="仿宋" w:eastAsia="仿宋_GB2312" w:cs="Times New Roman"/>
          <w:bCs/>
          <w:color w:val="000000"/>
          <w:sz w:val="32"/>
          <w:szCs w:val="32"/>
        </w:rPr>
        <w:t>被征收房屋补偿价格和产权调换房屋价格以评估机构评估的价格为准；评估时点为征收决定公告之日。</w:t>
      </w:r>
      <w:r>
        <w:rPr>
          <w:rFonts w:hint="eastAsia" w:ascii="仿宋_GB2312" w:hAnsi="仿宋" w:eastAsia="仿宋_GB2312" w:cs="Times New Roman"/>
          <w:b/>
          <w:color w:val="000000"/>
          <w:sz w:val="32"/>
          <w:szCs w:val="32"/>
        </w:rPr>
        <w:t>被征收人可以选择货币补偿，也可以选择房屋产权调换，因该项</w:t>
      </w:r>
      <w:r>
        <w:rPr>
          <w:rFonts w:hint="eastAsia" w:ascii="仿宋_GB2312" w:hAnsi="仿宋" w:eastAsia="仿宋_GB2312" w:cs="Arial"/>
          <w:b/>
          <w:color w:val="000000"/>
          <w:sz w:val="32"/>
          <w:szCs w:val="32"/>
        </w:rPr>
        <w:t>目为政府组织的交通基础设施建设工程</w:t>
      </w:r>
      <w:r>
        <w:rPr>
          <w:rFonts w:hint="eastAsia" w:ascii="仿宋_GB2312" w:hAnsi="仿宋" w:eastAsia="仿宋_GB2312" w:cs="Times New Roman"/>
          <w:b/>
          <w:color w:val="000000"/>
          <w:sz w:val="32"/>
          <w:szCs w:val="32"/>
        </w:rPr>
        <w:t>，结合项目性质及初步规划意见，一般实行货币补偿，如被征收人选择产权调换，可向房屋征收部门提出书面申请，根据申请情况安排异地安置产权调换房屋。</w:t>
      </w:r>
    </w:p>
    <w:p>
      <w:pPr>
        <w:adjustRightInd w:val="0"/>
        <w:snapToGrid w:val="0"/>
        <w:spacing w:line="620" w:lineRule="exact"/>
        <w:ind w:left="-2" w:leftChars="-1"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被征收房屋价值中包括房屋装饰装修价值以及附属于该房屋的国有土地使用权的价值。</w:t>
      </w:r>
    </w:p>
    <w:p>
      <w:pPr>
        <w:spacing w:line="600" w:lineRule="exact"/>
        <w:ind w:firstLine="640" w:firstLineChars="200"/>
        <w:rPr>
          <w:rFonts w:ascii="楷体_GB2312" w:hAnsi="楷体" w:eastAsia="楷体_GB2312" w:cs="Times New Roman"/>
          <w:color w:val="000000"/>
          <w:sz w:val="32"/>
          <w:szCs w:val="32"/>
        </w:rPr>
      </w:pPr>
      <w:r>
        <w:rPr>
          <w:rFonts w:hint="eastAsia" w:ascii="楷体_GB2312" w:hAnsi="楷体" w:eastAsia="楷体_GB2312" w:cs="Times New Roman"/>
          <w:color w:val="000000"/>
          <w:sz w:val="32"/>
          <w:szCs w:val="32"/>
        </w:rPr>
        <w:t>征收非住宅房屋的补偿：</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被征收非住宅房屋货币补偿价格不低于征收决定公告之日被征收房屋所处区位类似房地产市场价格（以划拨方式取得土地使用权的，按规定扣除政府收益部分）。</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选择货币补偿的，按照确定的货币补偿价格向被征收人支付补偿金；选择产权调换的，应当符合国家产业政策、土地供应政策和项目规划；对符合国家产业政策、土地供应政策和项目规划，实行产权调换的，被征收人应当按照产权调换房屋的评估价值与被征收房屋的评估价值结算价款。</w:t>
      </w:r>
    </w:p>
    <w:p>
      <w:pPr>
        <w:spacing w:line="580" w:lineRule="exact"/>
        <w:ind w:firstLine="640" w:firstLineChars="200"/>
        <w:rPr>
          <w:rFonts w:ascii="仿宋_GB2312" w:hAnsi="仿宋" w:eastAsia="仿宋_GB2312"/>
          <w:color w:val="000000"/>
          <w:sz w:val="32"/>
          <w:szCs w:val="32"/>
        </w:rPr>
      </w:pPr>
    </w:p>
    <w:p>
      <w:pPr>
        <w:spacing w:line="600" w:lineRule="exact"/>
        <w:ind w:firstLine="620" w:firstLineChars="194"/>
        <w:rPr>
          <w:rFonts w:ascii="黑体" w:hAnsi="黑体" w:eastAsia="黑体" w:cs="Times New Roman"/>
          <w:color w:val="000000"/>
          <w:sz w:val="32"/>
          <w:szCs w:val="32"/>
        </w:rPr>
      </w:pPr>
      <w:r>
        <w:rPr>
          <w:rFonts w:hint="eastAsia" w:ascii="黑体" w:hAnsi="黑体" w:eastAsia="黑体" w:cs="Times New Roman"/>
          <w:color w:val="000000"/>
          <w:sz w:val="32"/>
          <w:szCs w:val="32"/>
        </w:rPr>
        <w:t>五、未登记建筑的认定和处理</w:t>
      </w:r>
    </w:p>
    <w:p>
      <w:pPr>
        <w:spacing w:line="58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对征收范围内未登记建筑依据《济南市国有土地上房屋征收范围内未登记建筑认定和处理办法》（济城执发〔2017〕4 号）的规定进行调查处理，出具认定结论。</w:t>
      </w:r>
    </w:p>
    <w:p>
      <w:pPr>
        <w:spacing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六、搬迁费、临时安置费、停产停业损失等费用补偿标准</w:t>
      </w:r>
    </w:p>
    <w:p>
      <w:pPr>
        <w:spacing w:line="580" w:lineRule="exact"/>
        <w:ind w:firstLine="640" w:firstLineChars="200"/>
        <w:rPr>
          <w:rFonts w:ascii="仿宋_GB2312" w:hAnsi="仿宋" w:eastAsia="仿宋_GB2312" w:cs="Times New Roman"/>
          <w:color w:val="000000"/>
          <w:sz w:val="32"/>
          <w:szCs w:val="32"/>
        </w:rPr>
      </w:pPr>
      <w:r>
        <w:rPr>
          <w:rFonts w:hint="eastAsia" w:ascii="楷体_GB2312" w:hAnsi="仿宋" w:eastAsia="楷体_GB2312" w:cs="Times New Roman"/>
          <w:color w:val="000000"/>
          <w:sz w:val="32"/>
          <w:szCs w:val="32"/>
        </w:rPr>
        <w:t>（一）房屋</w:t>
      </w:r>
      <w:r>
        <w:rPr>
          <w:rFonts w:hint="eastAsia" w:ascii="仿宋_GB2312" w:hAnsi="仿宋" w:eastAsia="仿宋_GB2312" w:cs="Times New Roman"/>
          <w:color w:val="000000"/>
          <w:sz w:val="32"/>
          <w:szCs w:val="32"/>
        </w:rPr>
        <w:t>搬迁费</w:t>
      </w:r>
    </w:p>
    <w:p>
      <w:pPr>
        <w:spacing w:line="58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按被征收房屋建筑面积计算。被征收非住宅房屋按平方米35元计算；搬迁费总额不足2000元的，按2000元计发。被征收人需二次搬迁的，房屋征收部门按上述标准支付二次搬迁费。</w:t>
      </w:r>
    </w:p>
    <w:p>
      <w:pPr>
        <w:numPr>
          <w:ilvl w:val="0"/>
          <w:numId w:val="1"/>
        </w:numPr>
        <w:spacing w:line="540" w:lineRule="exact"/>
        <w:ind w:firstLine="640" w:firstLineChars="200"/>
        <w:rPr>
          <w:rFonts w:ascii="楷体_GB2312" w:hAnsi="仿宋" w:eastAsia="楷体_GB2312" w:cs="Times New Roman"/>
          <w:color w:val="000000"/>
          <w:sz w:val="32"/>
          <w:szCs w:val="32"/>
        </w:rPr>
      </w:pPr>
      <w:r>
        <w:rPr>
          <w:rFonts w:hint="eastAsia" w:ascii="楷体_GB2312" w:hAnsi="仿宋" w:eastAsia="楷体_GB2312" w:cs="Times New Roman"/>
          <w:color w:val="000000"/>
          <w:sz w:val="32"/>
          <w:szCs w:val="32"/>
        </w:rPr>
        <w:t>临时安置费</w:t>
      </w:r>
    </w:p>
    <w:p>
      <w:pPr>
        <w:spacing w:line="592"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选择产权调换的，过渡期限内，征收非住宅房屋每月临时安置费按照被征收房屋建筑面积每平方米35元计算；每月总额不足1500元的，按1500元计发。选择货币补偿的，一次性给予6个月临时安置费。</w:t>
      </w:r>
    </w:p>
    <w:p>
      <w:pPr>
        <w:spacing w:line="592" w:lineRule="exact"/>
        <w:ind w:firstLine="640" w:firstLineChars="200"/>
        <w:rPr>
          <w:rFonts w:ascii="楷体_GB2312" w:hAnsi="仿宋" w:eastAsia="楷体_GB2312" w:cs="仿宋_GB2312"/>
          <w:color w:val="000000"/>
          <w:sz w:val="32"/>
          <w:szCs w:val="32"/>
        </w:rPr>
      </w:pPr>
      <w:r>
        <w:rPr>
          <w:rFonts w:hint="eastAsia" w:ascii="楷体_GB2312" w:hAnsi="仿宋" w:eastAsia="楷体_GB2312" w:cs="仿宋_GB2312"/>
          <w:color w:val="000000"/>
          <w:sz w:val="32"/>
          <w:szCs w:val="32"/>
        </w:rPr>
        <w:t>（三）一次性停产停业损失补偿费</w:t>
      </w:r>
    </w:p>
    <w:p>
      <w:pPr>
        <w:spacing w:line="592" w:lineRule="exact"/>
        <w:ind w:firstLine="640" w:firstLineChars="200"/>
        <w:rPr>
          <w:rFonts w:ascii="仿宋_GB2312" w:hAnsi="仿宋_GB2312" w:eastAsia="仿宋_GB2312" w:cs="仿宋_GB2312"/>
          <w:color w:val="000000" w:themeColor="text1"/>
          <w:sz w:val="32"/>
          <w:szCs w:val="32"/>
        </w:rPr>
      </w:pPr>
      <w:r>
        <w:rPr>
          <w:rFonts w:hint="eastAsia" w:ascii="仿宋_GB2312" w:hAnsi="仿宋" w:eastAsia="仿宋_GB2312" w:cs="仿宋_GB2312"/>
          <w:color w:val="000000" w:themeColor="text1"/>
          <w:sz w:val="32"/>
          <w:szCs w:val="32"/>
        </w:rPr>
        <w:t>按被征收非住宅房屋建筑面积计算，营业、生产用房为每平方米400元，其他非住宅用房为每平方米300元。</w:t>
      </w:r>
    </w:p>
    <w:p>
      <w:pPr>
        <w:spacing w:line="580" w:lineRule="exact"/>
        <w:ind w:left="420" w:leftChars="200" w:firstLine="320" w:firstLineChars="100"/>
        <w:rPr>
          <w:rFonts w:ascii="楷体_GB2312" w:hAnsi="楷体" w:eastAsia="楷体_GB2312" w:cs="Times New Roman"/>
          <w:color w:val="000000"/>
          <w:sz w:val="32"/>
          <w:szCs w:val="32"/>
        </w:rPr>
      </w:pPr>
      <w:r>
        <w:rPr>
          <w:rFonts w:hint="eastAsia" w:ascii="楷体_GB2312" w:hAnsi="楷体" w:eastAsia="楷体_GB2312" w:cs="Times New Roman"/>
          <w:color w:val="000000"/>
          <w:sz w:val="32"/>
          <w:szCs w:val="32"/>
        </w:rPr>
        <w:t>（四）附属物补偿及设施迁移费</w:t>
      </w:r>
    </w:p>
    <w:p>
      <w:pPr>
        <w:spacing w:line="600" w:lineRule="exact"/>
        <w:ind w:firstLine="640" w:firstLineChars="200"/>
        <w:rPr>
          <w:rFonts w:ascii="仿宋_GB2312" w:hAnsi="Calibri" w:eastAsia="仿宋_GB2312" w:cs="Times New Roman"/>
          <w:color w:val="000000"/>
          <w:sz w:val="32"/>
          <w:szCs w:val="32"/>
          <w:shd w:val="clear" w:color="auto" w:fill="FFFFFF"/>
        </w:rPr>
      </w:pPr>
      <w:r>
        <w:rPr>
          <w:rFonts w:hint="eastAsia" w:ascii="仿宋_GB2312" w:hAnsi="Calibri" w:eastAsia="仿宋_GB2312" w:cs="Times New Roman"/>
          <w:color w:val="000000"/>
          <w:sz w:val="32"/>
          <w:szCs w:val="32"/>
          <w:shd w:val="clear" w:color="auto" w:fill="FFFFFF"/>
        </w:rPr>
        <w:t>被征收房屋依法配套建设的储藏室、简易房屋、地下室等附属设施，由评估机构评估后予以货币补偿。</w:t>
      </w:r>
    </w:p>
    <w:p>
      <w:pPr>
        <w:spacing w:line="600" w:lineRule="exact"/>
        <w:ind w:firstLine="640" w:firstLineChars="200"/>
        <w:rPr>
          <w:rFonts w:ascii="仿宋_GB2312" w:hAnsi="Calibri" w:eastAsia="仿宋_GB2312" w:cs="Times New Roman"/>
          <w:color w:val="000000"/>
          <w:sz w:val="32"/>
          <w:szCs w:val="32"/>
          <w:highlight w:val="yellow"/>
          <w:shd w:val="clear" w:color="auto" w:fill="FFFFFF"/>
        </w:rPr>
      </w:pPr>
      <w:r>
        <w:rPr>
          <w:rFonts w:hint="eastAsia" w:ascii="仿宋_GB2312" w:hAnsi="Calibri" w:eastAsia="仿宋_GB2312" w:cs="Times New Roman"/>
          <w:color w:val="000000"/>
          <w:sz w:val="32"/>
          <w:szCs w:val="32"/>
          <w:shd w:val="clear" w:color="auto" w:fill="FFFFFF"/>
        </w:rPr>
        <w:t>被征收人安装的固定电话、宽带网、空调、太阳能热水器等设施，按照征收房屋设备迁移费标准（详见附件1）予以补偿；不能迁移的按照附属物补偿标准（详见附件2）予以补偿；征收房屋院落内的树木，按照征收树木补偿标准（详见附件3）予以补偿。</w:t>
      </w:r>
    </w:p>
    <w:p>
      <w:pPr>
        <w:spacing w:line="600" w:lineRule="exact"/>
        <w:ind w:firstLine="640" w:firstLineChars="200"/>
        <w:rPr>
          <w:rFonts w:ascii="仿宋_GB2312" w:hAnsi="Calibri" w:eastAsia="仿宋_GB2312" w:cs="Times New Roman"/>
          <w:color w:val="000000"/>
          <w:sz w:val="32"/>
          <w:szCs w:val="32"/>
          <w:shd w:val="clear" w:color="auto" w:fill="FFFFFF"/>
        </w:rPr>
      </w:pPr>
      <w:r>
        <w:rPr>
          <w:rFonts w:hint="eastAsia" w:ascii="仿宋_GB2312" w:hAnsi="Calibri" w:eastAsia="仿宋_GB2312" w:cs="Times New Roman"/>
          <w:color w:val="000000"/>
          <w:sz w:val="32"/>
          <w:szCs w:val="32"/>
          <w:shd w:val="clear" w:color="auto" w:fill="FFFFFF"/>
        </w:rPr>
        <w:t>非住宅房屋的设备设施，被征收人能够迁移使用的应当迁移，房屋征收部门可向被征收人支付设备设施迁移费；搬迁后无法恢复使用的电梯、中央空调、监控系统、变配电系统、智能化系统等设备设施或迁移后价值明显受损的，房屋征收部门可向被征收人支付设备设施搬迁损失补偿费。</w:t>
      </w:r>
    </w:p>
    <w:p>
      <w:pPr>
        <w:spacing w:line="600" w:lineRule="exact"/>
        <w:ind w:firstLine="640" w:firstLineChars="200"/>
        <w:rPr>
          <w:rFonts w:ascii="仿宋_GB2312" w:hAnsi="Calibri" w:eastAsia="仿宋_GB2312" w:cs="Times New Roman"/>
          <w:color w:val="000000"/>
          <w:sz w:val="32"/>
          <w:szCs w:val="32"/>
          <w:shd w:val="clear" w:color="auto" w:fill="FFFFFF"/>
        </w:rPr>
      </w:pPr>
      <w:r>
        <w:rPr>
          <w:rFonts w:hint="eastAsia" w:ascii="仿宋_GB2312" w:hAnsi="Calibri" w:eastAsia="仿宋_GB2312" w:cs="Times New Roman"/>
          <w:color w:val="000000"/>
          <w:sz w:val="32"/>
          <w:szCs w:val="32"/>
          <w:shd w:val="clear" w:color="auto" w:fill="FFFFFF"/>
        </w:rPr>
        <w:t>附件1、附件2中未列明的设备设施迁移费和设备设施搬迁损失补偿费，由有相应资质的评估机构评估确定。房屋征收部门按照评估结果支付设备设施搬迁损失补偿费后，设备设施由被征收人自行处置。</w:t>
      </w:r>
    </w:p>
    <w:p>
      <w:pPr>
        <w:spacing w:line="60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七、奖励及补助标准</w:t>
      </w:r>
    </w:p>
    <w:p>
      <w:pPr>
        <w:spacing w:line="600" w:lineRule="exact"/>
        <w:ind w:firstLine="640" w:firstLineChars="200"/>
        <w:rPr>
          <w:rFonts w:ascii="楷体_GB2312" w:hAnsi="仿宋" w:eastAsia="楷体_GB2312" w:cs="Times New Roman"/>
          <w:color w:val="000000"/>
          <w:sz w:val="32"/>
          <w:szCs w:val="32"/>
        </w:rPr>
      </w:pPr>
      <w:r>
        <w:rPr>
          <w:rFonts w:hint="eastAsia" w:ascii="楷体_GB2312" w:hAnsi="仿宋" w:eastAsia="楷体_GB2312" w:cs="Times New Roman"/>
          <w:color w:val="000000"/>
          <w:sz w:val="32"/>
          <w:szCs w:val="32"/>
        </w:rPr>
        <w:t>（一）搬迁奖励费与提前搬迁奖励费</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征收非住宅房屋，被征收人在征收补偿方案规定的签约期限内签订协议并交验空房的，按其被征收房屋货币补偿金额的5%给予搬迁奖励费和提前搬迁奖励费，最少不低于3万元，最多不超过300万元；逾期签约的不予奖励。</w:t>
      </w:r>
    </w:p>
    <w:p>
      <w:pPr>
        <w:spacing w:line="600" w:lineRule="exact"/>
        <w:ind w:firstLine="640" w:firstLineChars="200"/>
        <w:rPr>
          <w:rFonts w:ascii="楷体_GB2312" w:hAnsi="仿宋" w:eastAsia="楷体_GB2312" w:cs="Times New Roman"/>
          <w:color w:val="000000"/>
          <w:sz w:val="32"/>
          <w:szCs w:val="32"/>
        </w:rPr>
      </w:pPr>
      <w:r>
        <w:rPr>
          <w:rFonts w:hint="eastAsia" w:ascii="楷体_GB2312" w:hAnsi="仿宋" w:eastAsia="楷体_GB2312" w:cs="Times New Roman"/>
          <w:color w:val="000000"/>
          <w:sz w:val="32"/>
          <w:szCs w:val="32"/>
        </w:rPr>
        <w:t>（二）货币补偿奖励费</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Calibri" w:eastAsia="仿宋_GB2312" w:cs="宋体"/>
          <w:color w:val="000000"/>
          <w:kern w:val="0"/>
          <w:sz w:val="32"/>
          <w:szCs w:val="32"/>
        </w:rPr>
        <w:t>非住宅房屋选择货币补偿方式的，</w:t>
      </w:r>
      <w:r>
        <w:rPr>
          <w:rFonts w:hint="eastAsia" w:ascii="仿宋_GB2312" w:hAnsi="宋体" w:eastAsia="仿宋_GB2312" w:cs="宋体"/>
          <w:color w:val="000000"/>
          <w:kern w:val="0"/>
          <w:sz w:val="32"/>
          <w:szCs w:val="32"/>
        </w:rPr>
        <w:t>在</w:t>
      </w:r>
      <w:r>
        <w:rPr>
          <w:rFonts w:hint="eastAsia" w:ascii="仿宋_GB2312" w:hAnsi="仿宋" w:eastAsia="仿宋_GB2312" w:cs="Times New Roman"/>
          <w:color w:val="000000"/>
          <w:sz w:val="32"/>
          <w:szCs w:val="32"/>
        </w:rPr>
        <w:t>签约期限内搬迁的，</w:t>
      </w:r>
      <w:r>
        <w:rPr>
          <w:rFonts w:hint="eastAsia" w:ascii="仿宋_GB2312" w:hAnsi="Calibri" w:eastAsia="仿宋_GB2312" w:cs="宋体"/>
          <w:color w:val="000000"/>
          <w:kern w:val="0"/>
          <w:sz w:val="32"/>
          <w:szCs w:val="32"/>
        </w:rPr>
        <w:t>按其被征收房屋价</w:t>
      </w:r>
      <w:r>
        <w:rPr>
          <w:rFonts w:hint="eastAsia" w:ascii="仿宋_GB2312" w:hAnsi="Calibri" w:eastAsia="仿宋_GB2312" w:cs="宋体"/>
          <w:kern w:val="0"/>
          <w:sz w:val="32"/>
          <w:szCs w:val="32"/>
        </w:rPr>
        <w:t>值的8%</w:t>
      </w:r>
      <w:r>
        <w:rPr>
          <w:rFonts w:hint="eastAsia" w:ascii="仿宋_GB2312" w:hAnsi="Calibri" w:eastAsia="仿宋_GB2312" w:cs="宋体"/>
          <w:color w:val="000000"/>
          <w:kern w:val="0"/>
          <w:sz w:val="32"/>
          <w:szCs w:val="32"/>
        </w:rPr>
        <w:t>给予货币补偿奖励；超出该项目征收补偿签约期限搬迁的，</w:t>
      </w:r>
      <w:r>
        <w:rPr>
          <w:rFonts w:hint="eastAsia" w:ascii="仿宋_GB2312" w:hAnsi="仿宋" w:eastAsia="仿宋_GB2312" w:cs="Arial"/>
          <w:color w:val="000000"/>
          <w:sz w:val="32"/>
          <w:szCs w:val="32"/>
        </w:rPr>
        <w:t>按其被征收房屋价值的2%给予</w:t>
      </w:r>
      <w:r>
        <w:rPr>
          <w:rFonts w:hint="eastAsia" w:ascii="仿宋_GB2312" w:hAnsi="Calibri" w:eastAsia="仿宋_GB2312" w:cs="宋体"/>
          <w:color w:val="000000"/>
          <w:kern w:val="0"/>
          <w:sz w:val="32"/>
          <w:szCs w:val="32"/>
        </w:rPr>
        <w:t>货币补偿奖励</w:t>
      </w:r>
      <w:r>
        <w:rPr>
          <w:rFonts w:hint="eastAsia" w:ascii="仿宋_GB2312" w:hAnsi="仿宋" w:eastAsia="仿宋_GB2312" w:cs="Arial"/>
          <w:color w:val="000000"/>
          <w:sz w:val="32"/>
          <w:szCs w:val="32"/>
        </w:rPr>
        <w:t>。</w:t>
      </w:r>
    </w:p>
    <w:p>
      <w:pPr>
        <w:spacing w:line="560" w:lineRule="exact"/>
        <w:ind w:firstLine="640" w:firstLineChars="200"/>
        <w:rPr>
          <w:rFonts w:ascii="黑体" w:hAnsi="黑体" w:eastAsia="黑体"/>
          <w:color w:val="000000"/>
          <w:sz w:val="32"/>
          <w:szCs w:val="32"/>
        </w:rPr>
      </w:pPr>
      <w:r>
        <w:rPr>
          <w:rFonts w:hint="eastAsia" w:ascii="黑体" w:hAnsi="黑体" w:eastAsia="黑体" w:cs="Times New Roman"/>
          <w:color w:val="000000"/>
          <w:sz w:val="32"/>
          <w:szCs w:val="32"/>
        </w:rPr>
        <w:t>八、</w:t>
      </w:r>
      <w:r>
        <w:rPr>
          <w:rFonts w:hint="eastAsia" w:ascii="黑体" w:hAnsi="黑体" w:eastAsia="黑体"/>
          <w:color w:val="000000"/>
          <w:sz w:val="32"/>
          <w:szCs w:val="32"/>
        </w:rPr>
        <w:t xml:space="preserve">其它事项 </w:t>
      </w:r>
    </w:p>
    <w:p>
      <w:pPr>
        <w:spacing w:line="56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一）被征收人对房屋证载建筑面积或征收部门委托的测绘机构出具的实测面积有异议的，应在征收部门公布调查结果后20日内委托房屋测绘机构对房屋合法建筑的面积进行测量，并出具报告。在征收签约期限内未提供报告的，房屋建筑面积以房屋所有权证载明或征收部门委托的测绘机构出具的实测面积为准。</w:t>
      </w:r>
    </w:p>
    <w:p>
      <w:pPr>
        <w:spacing w:line="56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二）被征收人或者房屋征收部门对评估报告结果有异议的，应当自收到评估报告之日起10日内，向原评估机构书面申请复核评估；被征收人、符合房改购房资格的公有房屋承租人或者房屋征收部门对原评估机构的复核结果有异议的，应当自收到复核结果之日起10日内，向济南市国有土地上房屋征收和拆迁评估专家委员会书面申请鉴定。</w:t>
      </w:r>
    </w:p>
    <w:p>
      <w:pPr>
        <w:spacing w:line="56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（三）被征收人腾空房屋后，要保持原房屋结构完整，设施齐全，不得损坏和拆除门窗、暖气设施、煤气管网线及各类用表，以保证公共安全，防止煤气、水电等安全事故发生。</w:t>
      </w:r>
    </w:p>
    <w:p>
      <w:pPr>
        <w:spacing w:line="56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四）房屋征收部门与被征收人在补偿方案确定的签约期限内达不成补偿协议，或者被征收房屋所有权人不明确的，由房屋征收部门报请区政府按照征收补偿方案作出补偿决定。被征收人在法定期限内不申请行政复议或者不提起行政诉讼，在补偿决定规定的期限内又不搬迁的，由区政府进行催告，催告书送达十日后当事人仍未履行搬迁义务的，区政府依法申请人民法院强制执行。</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本方案未尽事项按有关法律法规和我市有关政策规定办理。</w:t>
      </w:r>
    </w:p>
    <w:p>
      <w:pPr>
        <w:spacing w:line="60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附件：1.征收房屋设备迁移费标准</w:t>
      </w:r>
    </w:p>
    <w:p>
      <w:pPr>
        <w:spacing w:line="600" w:lineRule="exact"/>
        <w:ind w:firstLine="1600" w:firstLineChars="5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2.征收房屋附属物补偿标准</w:t>
      </w:r>
    </w:p>
    <w:p>
      <w:pPr>
        <w:spacing w:line="600" w:lineRule="exact"/>
        <w:ind w:firstLine="1600" w:firstLineChars="5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3.征收树木补偿标准</w:t>
      </w:r>
    </w:p>
    <w:p>
      <w:pPr>
        <w:widowControl/>
        <w:jc w:val="left"/>
        <w:rPr>
          <w:rFonts w:ascii="仿宋_GB2312" w:hAnsi="宋体" w:eastAsia="仿宋_GB2312" w:cs="Times New Roman"/>
          <w:color w:val="000000"/>
          <w:sz w:val="32"/>
          <w:szCs w:val="32"/>
        </w:rPr>
        <w:sectPr>
          <w:pgSz w:w="11906" w:h="16838"/>
          <w:pgMar w:top="1440" w:right="1417" w:bottom="1440" w:left="1417" w:header="851" w:footer="992" w:gutter="0"/>
          <w:cols w:space="720" w:num="1"/>
          <w:docGrid w:type="lines" w:linePitch="312" w:charSpace="0"/>
        </w:sectPr>
      </w:pPr>
    </w:p>
    <w:p>
      <w:pPr>
        <w:adjustRightInd w:val="0"/>
        <w:snapToGrid w:val="0"/>
        <w:jc w:val="left"/>
        <w:rPr>
          <w:rFonts w:ascii="黑体" w:hAnsi="黑体" w:eastAsia="黑体"/>
          <w:color w:val="000000"/>
          <w:sz w:val="32"/>
          <w:szCs w:val="24"/>
        </w:rPr>
      </w:pPr>
      <w:r>
        <w:rPr>
          <w:rFonts w:hint="eastAsia" w:ascii="黑体" w:hAnsi="黑体" w:eastAsia="黑体"/>
          <w:color w:val="000000"/>
          <w:sz w:val="32"/>
          <w:szCs w:val="24"/>
        </w:rPr>
        <w:t>附件1</w:t>
      </w:r>
    </w:p>
    <w:p>
      <w:pPr>
        <w:adjustRightInd w:val="0"/>
        <w:snapToGrid w:val="0"/>
        <w:spacing w:afterLines="50" w:line="660" w:lineRule="exact"/>
        <w:jc w:val="center"/>
        <w:rPr>
          <w:rFonts w:ascii="方正小标宋简体" w:hAnsi="Arial" w:eastAsia="方正小标宋简体"/>
          <w:color w:val="000000"/>
          <w:sz w:val="44"/>
          <w:szCs w:val="44"/>
        </w:rPr>
      </w:pPr>
      <w:r>
        <w:rPr>
          <w:rFonts w:hint="eastAsia" w:ascii="方正小标宋简体" w:hAnsi="Arial" w:eastAsia="方正小标宋简体"/>
          <w:color w:val="000000"/>
          <w:sz w:val="44"/>
          <w:szCs w:val="44"/>
        </w:rPr>
        <w:t>征收房屋设备迁移费标准</w:t>
      </w:r>
    </w:p>
    <w:tbl>
      <w:tblPr>
        <w:tblStyle w:val="16"/>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983"/>
        <w:gridCol w:w="2983"/>
        <w:gridCol w:w="28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黑体" w:hAnsi="黑体" w:eastAsia="黑体"/>
                <w:snapToGrid w:val="0"/>
                <w:color w:val="000000"/>
                <w:kern w:val="0"/>
                <w:sz w:val="24"/>
                <w:szCs w:val="24"/>
              </w:rPr>
            </w:pPr>
            <w:r>
              <w:rPr>
                <w:rFonts w:hint="eastAsia" w:ascii="黑体" w:hAnsi="黑体" w:eastAsia="黑体"/>
                <w:snapToGrid w:val="0"/>
                <w:color w:val="000000"/>
                <w:kern w:val="0"/>
                <w:sz w:val="24"/>
                <w:szCs w:val="24"/>
              </w:rPr>
              <w:t>名称</w:t>
            </w:r>
          </w:p>
        </w:tc>
        <w:tc>
          <w:tcPr>
            <w:tcW w:w="2835" w:type="dxa"/>
            <w:vAlign w:val="center"/>
          </w:tcPr>
          <w:p>
            <w:pPr>
              <w:adjustRightInd w:val="0"/>
              <w:snapToGrid w:val="0"/>
              <w:jc w:val="center"/>
              <w:rPr>
                <w:rFonts w:ascii="黑体" w:hAnsi="黑体" w:eastAsia="黑体"/>
                <w:snapToGrid w:val="0"/>
                <w:color w:val="000000"/>
                <w:kern w:val="0"/>
                <w:sz w:val="24"/>
                <w:szCs w:val="24"/>
              </w:rPr>
            </w:pPr>
            <w:r>
              <w:rPr>
                <w:rFonts w:hint="eastAsia" w:ascii="黑体" w:hAnsi="黑体" w:eastAsia="黑体"/>
                <w:snapToGrid w:val="0"/>
                <w:color w:val="000000"/>
                <w:kern w:val="0"/>
                <w:sz w:val="24"/>
                <w:szCs w:val="24"/>
              </w:rPr>
              <w:t>单位</w:t>
            </w:r>
          </w:p>
        </w:tc>
        <w:tc>
          <w:tcPr>
            <w:tcW w:w="2736" w:type="dxa"/>
            <w:vAlign w:val="center"/>
          </w:tcPr>
          <w:p>
            <w:pPr>
              <w:adjustRightInd w:val="0"/>
              <w:snapToGrid w:val="0"/>
              <w:jc w:val="center"/>
              <w:rPr>
                <w:rFonts w:ascii="黑体" w:hAnsi="黑体" w:eastAsia="黑体"/>
                <w:snapToGrid w:val="0"/>
                <w:color w:val="000000"/>
                <w:kern w:val="0"/>
                <w:sz w:val="24"/>
                <w:szCs w:val="24"/>
              </w:rPr>
            </w:pPr>
            <w:r>
              <w:rPr>
                <w:rFonts w:hint="eastAsia" w:ascii="黑体" w:hAnsi="黑体" w:eastAsia="黑体"/>
                <w:snapToGrid w:val="0"/>
                <w:color w:val="000000"/>
                <w:kern w:val="0"/>
                <w:sz w:val="24"/>
                <w:szCs w:val="24"/>
              </w:rPr>
              <w:t>迁移费（元）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固定电话</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部</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宽带网（住宅）</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端口</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宽带网（非住宅）</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端口</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空调</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台</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8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太阳能热水器</w:t>
            </w:r>
          </w:p>
        </w:tc>
        <w:tc>
          <w:tcPr>
            <w:tcW w:w="2835"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台</w:t>
            </w:r>
          </w:p>
        </w:tc>
        <w:tc>
          <w:tcPr>
            <w:tcW w:w="2736" w:type="dxa"/>
            <w:vAlign w:val="center"/>
          </w:tcPr>
          <w:p>
            <w:pPr>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400</w:t>
            </w:r>
          </w:p>
        </w:tc>
      </w:tr>
    </w:tbl>
    <w:p>
      <w:pPr>
        <w:adjustRightInd w:val="0"/>
        <w:snapToGrid w:val="0"/>
        <w:rPr>
          <w:rFonts w:ascii="方正宋三_GBK" w:eastAsia="方正宋三_GBK"/>
          <w:color w:val="000000"/>
          <w:kern w:val="0"/>
          <w:sz w:val="24"/>
          <w:szCs w:val="24"/>
        </w:rPr>
      </w:pPr>
      <w:r>
        <w:rPr>
          <w:rFonts w:hint="eastAsia" w:ascii="方正宋三_GBK" w:eastAsia="方正宋三_GBK"/>
          <w:color w:val="000000"/>
          <w:kern w:val="0"/>
          <w:sz w:val="24"/>
          <w:szCs w:val="24"/>
        </w:rPr>
        <w:t>注：</w:t>
      </w:r>
      <w:r>
        <w:rPr>
          <w:rFonts w:hint="eastAsia" w:ascii="方正宋三_GBK" w:eastAsia="方正宋三_GBK"/>
          <w:snapToGrid w:val="0"/>
          <w:color w:val="000000"/>
          <w:spacing w:val="-4"/>
          <w:kern w:val="0"/>
          <w:sz w:val="24"/>
          <w:szCs w:val="24"/>
        </w:rPr>
        <w:t>其他大型设备设施迁移费及搬迁损失补偿费，由具有相关资质的评估机构评估确定</w:t>
      </w:r>
      <w:r>
        <w:rPr>
          <w:rFonts w:hint="eastAsia" w:ascii="方正宋三_GBK" w:eastAsia="方正宋三_GBK"/>
          <w:color w:val="000000"/>
          <w:kern w:val="0"/>
          <w:sz w:val="24"/>
          <w:szCs w:val="24"/>
        </w:rPr>
        <w:t>。</w:t>
      </w:r>
    </w:p>
    <w:p>
      <w:pPr>
        <w:adjustRightInd w:val="0"/>
        <w:snapToGrid w:val="0"/>
        <w:jc w:val="left"/>
        <w:rPr>
          <w:rFonts w:ascii="黑体" w:hAnsi="黑体" w:eastAsia="黑体"/>
          <w:color w:val="000000"/>
          <w:sz w:val="32"/>
          <w:szCs w:val="24"/>
        </w:rPr>
      </w:pPr>
    </w:p>
    <w:p>
      <w:pPr>
        <w:adjustRightInd w:val="0"/>
        <w:snapToGrid w:val="0"/>
        <w:jc w:val="left"/>
        <w:rPr>
          <w:rFonts w:ascii="黑体" w:hAnsi="黑体" w:eastAsia="黑体"/>
          <w:color w:val="000000"/>
          <w:sz w:val="32"/>
          <w:szCs w:val="24"/>
        </w:rPr>
      </w:pPr>
      <w:r>
        <w:rPr>
          <w:rFonts w:ascii="黑体" w:hAnsi="黑体" w:eastAsia="黑体"/>
          <w:color w:val="000000"/>
          <w:sz w:val="32"/>
          <w:szCs w:val="24"/>
        </w:rPr>
        <w:br w:type="page"/>
      </w:r>
      <w:r>
        <w:rPr>
          <w:rFonts w:hint="eastAsia" w:ascii="黑体" w:hAnsi="黑体" w:eastAsia="黑体"/>
          <w:color w:val="000000"/>
          <w:sz w:val="32"/>
          <w:szCs w:val="24"/>
        </w:rPr>
        <w:t>附件2</w:t>
      </w:r>
    </w:p>
    <w:p>
      <w:pPr>
        <w:adjustRightInd w:val="0"/>
        <w:snapToGrid w:val="0"/>
        <w:spacing w:afterLines="50" w:line="660" w:lineRule="exact"/>
        <w:jc w:val="center"/>
        <w:rPr>
          <w:rFonts w:ascii="方正小标宋简体" w:hAnsi="Arial" w:eastAsia="方正小标宋简体"/>
          <w:color w:val="000000"/>
          <w:sz w:val="44"/>
          <w:szCs w:val="44"/>
        </w:rPr>
      </w:pPr>
      <w:r>
        <w:rPr>
          <w:rFonts w:hint="eastAsia" w:ascii="方正小标宋简体" w:hAnsi="Arial" w:eastAsia="方正小标宋简体"/>
          <w:color w:val="000000"/>
          <w:sz w:val="44"/>
          <w:szCs w:val="44"/>
        </w:rPr>
        <w:t>征收房屋附属物补偿标准</w:t>
      </w:r>
    </w:p>
    <w:tbl>
      <w:tblPr>
        <w:tblStyle w:val="16"/>
        <w:tblW w:w="88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750"/>
        <w:gridCol w:w="2250"/>
        <w:gridCol w:w="28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3750"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项目名称</w:t>
            </w:r>
          </w:p>
        </w:tc>
        <w:tc>
          <w:tcPr>
            <w:tcW w:w="2250"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单位</w:t>
            </w:r>
          </w:p>
        </w:tc>
        <w:tc>
          <w:tcPr>
            <w:tcW w:w="2830"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单价（元）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24砖院墙</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160-180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12砖院墙</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80-100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砖石（乱石）院墙</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180-200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院落内砖铺地面硬化</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60-80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院落内水泥地面硬化</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hAnsi="宋体" w:eastAsia="方正宋三_GBK"/>
                <w:snapToGrid w:val="0"/>
                <w:color w:val="000000"/>
                <w:kern w:val="0"/>
                <w:sz w:val="24"/>
                <w:szCs w:val="24"/>
              </w:rPr>
            </w:pPr>
            <w:r>
              <w:rPr>
                <w:rFonts w:hint="eastAsia" w:ascii="方正宋三_GBK" w:eastAsia="方正宋三_GBK"/>
                <w:snapToGrid w:val="0"/>
                <w:color w:val="000000"/>
                <w:kern w:val="0"/>
                <w:sz w:val="24"/>
                <w:szCs w:val="24"/>
              </w:rPr>
              <w:t>60-90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防盗网</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80-120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栅栏式防盗门</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个</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300-500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实体和复合式防盗门</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个</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800-1200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塑钢、彩铝窗</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180-220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断桥铝窗</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hAnsi="宋体" w:eastAsia="方正宋三_GBK"/>
                <w:snapToGrid w:val="0"/>
                <w:color w:val="000000"/>
                <w:kern w:val="0"/>
                <w:sz w:val="24"/>
                <w:szCs w:val="24"/>
              </w:rPr>
            </w:pPr>
            <w:r>
              <w:rPr>
                <w:rFonts w:hint="eastAsia" w:ascii="方正宋三_GBK" w:eastAsia="方正宋三_GBK"/>
                <w:snapToGrid w:val="0"/>
                <w:color w:val="000000"/>
                <w:kern w:val="0"/>
                <w:sz w:val="24"/>
                <w:szCs w:val="24"/>
              </w:rPr>
              <w:t>300-400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卷帘门</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200-260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玻璃钢防雨罩</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r>
              <w:rPr>
                <w:rFonts w:hint="eastAsia" w:ascii="方正宋三_GBK" w:eastAsia="方正宋三_GBK"/>
                <w:snapToGrid w:val="0"/>
                <w:color w:val="000000"/>
                <w:kern w:val="0"/>
                <w:sz w:val="24"/>
                <w:szCs w:val="24"/>
                <w:vertAlign w:val="superscript"/>
              </w:rPr>
              <w:t>2</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60-90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37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雨搭</w:t>
            </w:r>
          </w:p>
        </w:tc>
        <w:tc>
          <w:tcPr>
            <w:tcW w:w="225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M</w:t>
            </w:r>
          </w:p>
        </w:tc>
        <w:tc>
          <w:tcPr>
            <w:tcW w:w="283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50-70</w:t>
            </w:r>
          </w:p>
        </w:tc>
      </w:tr>
    </w:tbl>
    <w:p>
      <w:pPr>
        <w:adjustRightInd w:val="0"/>
        <w:snapToGrid w:val="0"/>
        <w:rPr>
          <w:rFonts w:ascii="方正宋三_GBK" w:eastAsia="方正宋三_GBK"/>
          <w:color w:val="000000"/>
          <w:kern w:val="0"/>
          <w:sz w:val="24"/>
          <w:szCs w:val="24"/>
        </w:rPr>
      </w:pPr>
      <w:r>
        <w:rPr>
          <w:rFonts w:hint="eastAsia" w:ascii="方正宋三_GBK" w:eastAsia="方正宋三_GBK"/>
          <w:color w:val="000000"/>
          <w:kern w:val="0"/>
          <w:sz w:val="24"/>
          <w:szCs w:val="24"/>
        </w:rPr>
        <w:t>注：1.被征收人自行拆除的不予补偿。</w:t>
      </w:r>
    </w:p>
    <w:p>
      <w:pPr>
        <w:adjustRightInd w:val="0"/>
        <w:snapToGrid w:val="0"/>
        <w:ind w:firstLine="474" w:firstLineChars="208"/>
        <w:rPr>
          <w:rFonts w:ascii="方正宋三_GBK" w:eastAsia="方正宋三_GBK"/>
          <w:color w:val="000000"/>
          <w:kern w:val="0"/>
          <w:sz w:val="24"/>
          <w:szCs w:val="24"/>
        </w:rPr>
      </w:pPr>
      <w:r>
        <w:rPr>
          <w:rFonts w:hint="eastAsia" w:ascii="方正宋三_GBK" w:eastAsia="方正宋三_GBK"/>
          <w:color w:val="000000"/>
          <w:spacing w:val="-6"/>
          <w:kern w:val="0"/>
          <w:sz w:val="24"/>
          <w:szCs w:val="24"/>
        </w:rPr>
        <w:t>2.被征收房屋装修部分评估中已包含的项目不再另行补偿；被征收正式房屋的</w:t>
      </w:r>
      <w:r>
        <w:rPr>
          <w:rFonts w:hint="eastAsia" w:ascii="方正宋三_GBK" w:eastAsia="方正宋三_GBK"/>
          <w:color w:val="000000"/>
          <w:kern w:val="0"/>
          <w:sz w:val="24"/>
          <w:szCs w:val="24"/>
        </w:rPr>
        <w:t>塑钢、</w:t>
      </w:r>
    </w:p>
    <w:p>
      <w:pPr>
        <w:adjustRightInd w:val="0"/>
        <w:snapToGrid w:val="0"/>
        <w:ind w:firstLine="643" w:firstLineChars="268"/>
        <w:rPr>
          <w:rFonts w:ascii="方正宋三_GBK" w:eastAsia="方正宋三_GBK"/>
          <w:color w:val="000000"/>
          <w:kern w:val="0"/>
          <w:sz w:val="24"/>
          <w:szCs w:val="24"/>
        </w:rPr>
      </w:pPr>
      <w:r>
        <w:rPr>
          <w:rFonts w:hint="eastAsia" w:ascii="方正宋三_GBK" w:eastAsia="方正宋三_GBK"/>
          <w:color w:val="000000"/>
          <w:kern w:val="0"/>
          <w:sz w:val="24"/>
          <w:szCs w:val="24"/>
        </w:rPr>
        <w:t>彩铝窗、断桥铝窗不再另行补偿。</w:t>
      </w:r>
    </w:p>
    <w:p>
      <w:pPr>
        <w:adjustRightInd w:val="0"/>
        <w:snapToGrid w:val="0"/>
        <w:ind w:firstLine="474" w:firstLineChars="208"/>
        <w:rPr>
          <w:rFonts w:ascii="方正宋三_GBK" w:eastAsia="方正宋三_GBK"/>
          <w:color w:val="000000"/>
          <w:spacing w:val="-6"/>
          <w:kern w:val="0"/>
          <w:sz w:val="24"/>
          <w:szCs w:val="24"/>
        </w:rPr>
      </w:pPr>
      <w:r>
        <w:rPr>
          <w:rFonts w:hint="eastAsia" w:ascii="方正宋三_GBK" w:eastAsia="方正宋三_GBK"/>
          <w:color w:val="000000"/>
          <w:spacing w:val="-6"/>
          <w:kern w:val="0"/>
          <w:sz w:val="24"/>
          <w:szCs w:val="24"/>
        </w:rPr>
        <w:t>3.未列明的其他房屋附属物以及被征收人对参照以上房屋附属物作价标准补偿有异</w:t>
      </w:r>
    </w:p>
    <w:p>
      <w:pPr>
        <w:adjustRightInd w:val="0"/>
        <w:snapToGrid w:val="0"/>
        <w:ind w:firstLine="643" w:firstLineChars="268"/>
        <w:rPr>
          <w:rFonts w:ascii="方正宋三_GBK" w:eastAsia="方正宋三_GBK"/>
          <w:color w:val="000000"/>
          <w:kern w:val="0"/>
          <w:sz w:val="24"/>
          <w:szCs w:val="24"/>
        </w:rPr>
      </w:pPr>
      <w:r>
        <w:rPr>
          <w:rFonts w:hint="eastAsia" w:ascii="方正宋三_GBK" w:eastAsia="方正宋三_GBK"/>
          <w:color w:val="000000"/>
          <w:kern w:val="0"/>
          <w:sz w:val="24"/>
          <w:szCs w:val="24"/>
        </w:rPr>
        <w:t>议的，可委托具有相关资质的评估机构评估后予以补偿。</w:t>
      </w:r>
    </w:p>
    <w:p>
      <w:pPr>
        <w:adjustRightInd w:val="0"/>
        <w:snapToGrid w:val="0"/>
        <w:spacing w:line="580" w:lineRule="exact"/>
        <w:ind w:firstLine="640" w:firstLineChars="200"/>
        <w:rPr>
          <w:rFonts w:ascii="仿宋_GB2312" w:eastAsia="仿宋_GB2312"/>
          <w:snapToGrid w:val="0"/>
          <w:color w:val="000000"/>
          <w:kern w:val="0"/>
          <w:sz w:val="32"/>
          <w:szCs w:val="24"/>
        </w:rPr>
      </w:pPr>
    </w:p>
    <w:p>
      <w:pPr>
        <w:pStyle w:val="11"/>
        <w:ind w:firstLine="640"/>
        <w:rPr>
          <w:color w:val="000000"/>
        </w:rPr>
      </w:pPr>
    </w:p>
    <w:p>
      <w:pPr>
        <w:adjustRightInd w:val="0"/>
        <w:snapToGrid w:val="0"/>
        <w:jc w:val="left"/>
        <w:rPr>
          <w:rFonts w:ascii="黑体" w:hAnsi="黑体" w:eastAsia="黑体"/>
          <w:color w:val="000000"/>
          <w:sz w:val="32"/>
          <w:szCs w:val="24"/>
        </w:rPr>
      </w:pPr>
    </w:p>
    <w:p>
      <w:pPr>
        <w:adjustRightInd w:val="0"/>
        <w:snapToGrid w:val="0"/>
        <w:jc w:val="left"/>
        <w:rPr>
          <w:rFonts w:ascii="黑体" w:hAnsi="黑体" w:eastAsia="黑体"/>
          <w:color w:val="000000"/>
          <w:sz w:val="32"/>
          <w:szCs w:val="24"/>
        </w:rPr>
      </w:pPr>
    </w:p>
    <w:p>
      <w:pPr>
        <w:adjustRightInd w:val="0"/>
        <w:snapToGrid w:val="0"/>
        <w:jc w:val="left"/>
        <w:rPr>
          <w:rFonts w:ascii="黑体" w:hAnsi="黑体" w:eastAsia="黑体"/>
          <w:color w:val="000000"/>
          <w:sz w:val="32"/>
          <w:szCs w:val="24"/>
        </w:rPr>
      </w:pPr>
      <w:r>
        <w:rPr>
          <w:rFonts w:ascii="黑体" w:hAnsi="黑体" w:eastAsia="黑体"/>
          <w:color w:val="000000"/>
          <w:sz w:val="32"/>
          <w:szCs w:val="24"/>
        </w:rPr>
        <w:br w:type="page"/>
      </w:r>
      <w:r>
        <w:rPr>
          <w:rFonts w:hint="eastAsia" w:ascii="黑体" w:hAnsi="黑体" w:eastAsia="黑体"/>
          <w:color w:val="000000"/>
          <w:sz w:val="32"/>
          <w:szCs w:val="24"/>
        </w:rPr>
        <w:t>附件3</w:t>
      </w:r>
    </w:p>
    <w:p>
      <w:pPr>
        <w:adjustRightInd w:val="0"/>
        <w:snapToGrid w:val="0"/>
        <w:ind w:firstLine="880" w:firstLineChars="200"/>
        <w:jc w:val="center"/>
        <w:rPr>
          <w:rFonts w:ascii="方正小标宋简体" w:hAnsi="Arial" w:eastAsia="方正小标宋简体"/>
          <w:color w:val="000000"/>
          <w:sz w:val="44"/>
          <w:szCs w:val="44"/>
        </w:rPr>
      </w:pPr>
      <w:r>
        <w:rPr>
          <w:rFonts w:hint="eastAsia" w:ascii="方正小标宋简体" w:hAnsi="Arial" w:eastAsia="方正小标宋简体"/>
          <w:color w:val="000000"/>
          <w:sz w:val="44"/>
          <w:szCs w:val="44"/>
        </w:rPr>
        <w:t>征收树木补偿标准</w:t>
      </w:r>
    </w:p>
    <w:tbl>
      <w:tblPr>
        <w:tblStyle w:val="16"/>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373"/>
        <w:gridCol w:w="2831"/>
        <w:gridCol w:w="2092"/>
        <w:gridCol w:w="25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1377"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名称</w:t>
            </w:r>
          </w:p>
        </w:tc>
        <w:tc>
          <w:tcPr>
            <w:tcW w:w="2840"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类别</w:t>
            </w:r>
          </w:p>
        </w:tc>
        <w:tc>
          <w:tcPr>
            <w:tcW w:w="2098"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补偿标准</w:t>
            </w:r>
          </w:p>
        </w:tc>
        <w:tc>
          <w:tcPr>
            <w:tcW w:w="2557" w:type="dxa"/>
            <w:vAlign w:val="center"/>
          </w:tcPr>
          <w:p>
            <w:pPr>
              <w:widowControl/>
              <w:adjustRightInd w:val="0"/>
              <w:snapToGrid w:val="0"/>
              <w:jc w:val="center"/>
              <w:rPr>
                <w:rFonts w:ascii="黑体" w:eastAsia="黑体"/>
                <w:snapToGrid w:val="0"/>
                <w:color w:val="000000"/>
                <w:kern w:val="0"/>
                <w:sz w:val="24"/>
                <w:szCs w:val="24"/>
              </w:rPr>
            </w:pPr>
            <w:r>
              <w:rPr>
                <w:rFonts w:hint="eastAsia" w:ascii="黑体" w:eastAsia="黑体"/>
                <w:snapToGrid w:val="0"/>
                <w:color w:val="00000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7" w:type="dxa"/>
            <w:vMerge w:val="restart"/>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乔木</w:t>
            </w: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胸径5厘米以下</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10—30元/棵</w:t>
            </w:r>
          </w:p>
        </w:tc>
        <w:tc>
          <w:tcPr>
            <w:tcW w:w="2557" w:type="dxa"/>
            <w:vMerge w:val="restart"/>
            <w:vAlign w:val="center"/>
          </w:tcPr>
          <w:p>
            <w:pPr>
              <w:widowControl/>
              <w:adjustRightInd w:val="0"/>
              <w:snapToGrid w:val="0"/>
              <w:jc w:val="center"/>
              <w:rPr>
                <w:rFonts w:ascii="方正宋三_GBK" w:eastAsia="方正宋三_GBK"/>
                <w:snapToGrid w:val="0"/>
                <w:color w:val="000000"/>
                <w:kern w:val="0"/>
                <w:szCs w:val="21"/>
              </w:rPr>
            </w:pPr>
            <w:r>
              <w:rPr>
                <w:rFonts w:hint="eastAsia" w:ascii="方正宋三_GBK" w:eastAsia="方正宋三_GBK"/>
                <w:snapToGrid w:val="0"/>
                <w:color w:val="000000"/>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胸径6—10厘米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30—60元/棵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胸径11—15厘米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60—70元/棵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胸径16—20厘米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70—120元/棵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胸径21—25厘米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120—240元/棵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胸径26—30厘米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240—360元/棵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胸径31—40厘米</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360—480元/棵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胸径40厘米以上</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480—600元/棵</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
                <w:szCs w:val="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1" w:hRule="atLeast"/>
          <w:jc w:val="center"/>
        </w:trPr>
        <w:tc>
          <w:tcPr>
            <w:tcW w:w="1377" w:type="dxa"/>
            <w:vMerge w:val="restart"/>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灌木</w:t>
            </w: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一年生以内</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10—20元/墩</w:t>
            </w:r>
          </w:p>
        </w:tc>
        <w:tc>
          <w:tcPr>
            <w:tcW w:w="2557" w:type="dxa"/>
            <w:vMerge w:val="restart"/>
            <w:vAlign w:val="center"/>
          </w:tcPr>
          <w:p>
            <w:pPr>
              <w:widowControl/>
              <w:adjustRightInd w:val="0"/>
              <w:snapToGrid w:val="0"/>
              <w:ind w:firstLine="480" w:firstLineChars="200"/>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1.每墩出条数按10—20根计算。</w:t>
            </w:r>
          </w:p>
          <w:p>
            <w:pPr>
              <w:widowControl/>
              <w:adjustRightInd w:val="0"/>
              <w:snapToGrid w:val="0"/>
              <w:ind w:firstLine="480" w:firstLineChars="200"/>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2.观赏经济类可提高40%—60%。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1373"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一年生以上</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20—30元/墩</w:t>
            </w:r>
          </w:p>
        </w:tc>
        <w:tc>
          <w:tcPr>
            <w:tcW w:w="2549" w:type="dxa"/>
            <w:vMerge w:val="continue"/>
            <w:vAlign w:val="center"/>
          </w:tcPr>
          <w:p>
            <w:pPr>
              <w:widowControl/>
              <w:adjustRightInd w:val="0"/>
              <w:snapToGrid w:val="0"/>
              <w:jc w:val="left"/>
              <w:rPr>
                <w:rFonts w:ascii="方正宋三_GBK" w:eastAsia="方正宋三_GBK"/>
                <w:snapToGrid w:val="0"/>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7" w:type="dxa"/>
            <w:vMerge w:val="restart"/>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果树</w:t>
            </w: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幼龄期（区分树种）</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60—90元/棵</w:t>
            </w:r>
          </w:p>
        </w:tc>
        <w:tc>
          <w:tcPr>
            <w:tcW w:w="2557" w:type="dxa"/>
            <w:vMerge w:val="restart"/>
            <w:vAlign w:val="center"/>
          </w:tcPr>
          <w:p>
            <w:pPr>
              <w:widowControl/>
              <w:adjustRightInd w:val="0"/>
              <w:snapToGrid w:val="0"/>
              <w:ind w:firstLine="480" w:firstLineChars="200"/>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包括苹果、梨、桃、石榴、山楂、杏、无花果、枣、柿、樱桃、核桃等。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黑体" w:eastAsia="黑体"/>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初果期（区分树种）</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200—300元/棵</w:t>
            </w:r>
          </w:p>
        </w:tc>
        <w:tc>
          <w:tcPr>
            <w:tcW w:w="2549" w:type="dxa"/>
            <w:vMerge w:val="continue"/>
            <w:vAlign w:val="center"/>
          </w:tcPr>
          <w:p>
            <w:pPr>
              <w:widowControl/>
              <w:adjustRightInd w:val="0"/>
              <w:snapToGrid w:val="0"/>
              <w:jc w:val="left"/>
              <w:rPr>
                <w:rFonts w:ascii="仿宋_GB2312" w:eastAsia="仿宋_GB2312"/>
                <w:snapToGrid w:val="0"/>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黑体" w:eastAsia="黑体"/>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盛果期（区分树种）</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400—800元/棵</w:t>
            </w:r>
          </w:p>
        </w:tc>
        <w:tc>
          <w:tcPr>
            <w:tcW w:w="2549" w:type="dxa"/>
            <w:vMerge w:val="continue"/>
            <w:vAlign w:val="center"/>
          </w:tcPr>
          <w:p>
            <w:pPr>
              <w:widowControl/>
              <w:adjustRightInd w:val="0"/>
              <w:snapToGrid w:val="0"/>
              <w:jc w:val="left"/>
              <w:rPr>
                <w:rFonts w:ascii="仿宋_GB2312" w:eastAsia="仿宋_GB2312"/>
                <w:snapToGrid w:val="0"/>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373" w:type="dxa"/>
            <w:vMerge w:val="continue"/>
            <w:vAlign w:val="center"/>
          </w:tcPr>
          <w:p>
            <w:pPr>
              <w:widowControl/>
              <w:adjustRightInd w:val="0"/>
              <w:snapToGrid w:val="0"/>
              <w:jc w:val="left"/>
              <w:rPr>
                <w:rFonts w:ascii="黑体" w:eastAsia="黑体"/>
                <w:snapToGrid w:val="0"/>
                <w:color w:val="000000"/>
                <w:kern w:val="0"/>
                <w:sz w:val="24"/>
                <w:szCs w:val="24"/>
              </w:rPr>
            </w:pPr>
          </w:p>
        </w:tc>
        <w:tc>
          <w:tcPr>
            <w:tcW w:w="2840"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衰老期（区分树种）</w:t>
            </w:r>
          </w:p>
        </w:tc>
        <w:tc>
          <w:tcPr>
            <w:tcW w:w="2098" w:type="dxa"/>
            <w:vAlign w:val="center"/>
          </w:tcPr>
          <w:p>
            <w:pPr>
              <w:widowControl/>
              <w:adjustRightInd w:val="0"/>
              <w:snapToGrid w:val="0"/>
              <w:jc w:val="center"/>
              <w:rPr>
                <w:rFonts w:ascii="方正宋三_GBK" w:eastAsia="方正宋三_GBK"/>
                <w:snapToGrid w:val="0"/>
                <w:color w:val="000000"/>
                <w:kern w:val="0"/>
                <w:sz w:val="24"/>
                <w:szCs w:val="24"/>
              </w:rPr>
            </w:pPr>
            <w:r>
              <w:rPr>
                <w:rFonts w:hint="eastAsia" w:ascii="方正宋三_GBK" w:eastAsia="方正宋三_GBK"/>
                <w:snapToGrid w:val="0"/>
                <w:color w:val="000000"/>
                <w:kern w:val="0"/>
                <w:sz w:val="24"/>
                <w:szCs w:val="24"/>
              </w:rPr>
              <w:t>180—300元/棵</w:t>
            </w:r>
          </w:p>
        </w:tc>
        <w:tc>
          <w:tcPr>
            <w:tcW w:w="2549" w:type="dxa"/>
            <w:vMerge w:val="continue"/>
            <w:vAlign w:val="center"/>
          </w:tcPr>
          <w:p>
            <w:pPr>
              <w:widowControl/>
              <w:adjustRightInd w:val="0"/>
              <w:snapToGrid w:val="0"/>
              <w:jc w:val="left"/>
              <w:rPr>
                <w:rFonts w:ascii="仿宋_GB2312" w:eastAsia="仿宋_GB2312"/>
                <w:snapToGrid w:val="0"/>
                <w:color w:val="000000"/>
                <w:kern w:val="0"/>
                <w:sz w:val="24"/>
                <w:szCs w:val="24"/>
              </w:rPr>
            </w:pPr>
          </w:p>
        </w:tc>
      </w:tr>
    </w:tbl>
    <w:p>
      <w:pPr>
        <w:adjustRightInd w:val="0"/>
        <w:snapToGrid w:val="0"/>
        <w:rPr>
          <w:rFonts w:ascii="方正宋三_GBK" w:eastAsia="方正宋三_GBK"/>
          <w:color w:val="000000"/>
          <w:kern w:val="0"/>
          <w:sz w:val="24"/>
          <w:szCs w:val="24"/>
        </w:rPr>
      </w:pPr>
      <w:r>
        <w:rPr>
          <w:rFonts w:hint="eastAsia" w:ascii="方正宋三_GBK" w:eastAsia="方正宋三_GBK"/>
          <w:color w:val="000000"/>
          <w:kern w:val="0"/>
          <w:sz w:val="24"/>
          <w:szCs w:val="24"/>
        </w:rPr>
        <w:t>注：未列明的其他树木补偿标准，可由具有相关资质的评估机构评估确定。</w:t>
      </w:r>
    </w:p>
    <w:p>
      <w:pPr>
        <w:rPr>
          <w:color w:val="000000"/>
        </w:rPr>
      </w:pPr>
    </w:p>
    <w:p>
      <w:pPr>
        <w:rPr>
          <w:color w:val="000000"/>
        </w:rPr>
      </w:pPr>
    </w:p>
    <w:p>
      <w:pPr>
        <w:widowControl/>
        <w:shd w:val="clear" w:color="auto" w:fill="FFFFFF"/>
        <w:spacing w:line="554" w:lineRule="atLeast"/>
      </w:pPr>
    </w:p>
    <w:sectPr>
      <w:headerReference r:id="rId3" w:type="default"/>
      <w:footerReference r:id="rId4"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宋三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9</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023F2"/>
    <w:multiLevelType w:val="singleLevel"/>
    <w:tmpl w:val="45D023F2"/>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38F5"/>
    <w:rsid w:val="00000D7D"/>
    <w:rsid w:val="0000754E"/>
    <w:rsid w:val="0006507E"/>
    <w:rsid w:val="0009277E"/>
    <w:rsid w:val="000A5B27"/>
    <w:rsid w:val="000D25AD"/>
    <w:rsid w:val="000E2D33"/>
    <w:rsid w:val="000F29D9"/>
    <w:rsid w:val="00103460"/>
    <w:rsid w:val="00196191"/>
    <w:rsid w:val="001A5E2B"/>
    <w:rsid w:val="001D7BD4"/>
    <w:rsid w:val="001E2632"/>
    <w:rsid w:val="001F3C12"/>
    <w:rsid w:val="00226DDD"/>
    <w:rsid w:val="00250E55"/>
    <w:rsid w:val="00282CED"/>
    <w:rsid w:val="00316B18"/>
    <w:rsid w:val="003E49AC"/>
    <w:rsid w:val="00406E09"/>
    <w:rsid w:val="0042037E"/>
    <w:rsid w:val="0049490A"/>
    <w:rsid w:val="004B1F13"/>
    <w:rsid w:val="004D51B3"/>
    <w:rsid w:val="004E58F1"/>
    <w:rsid w:val="004F555A"/>
    <w:rsid w:val="005C74ED"/>
    <w:rsid w:val="006B48CA"/>
    <w:rsid w:val="006E3D00"/>
    <w:rsid w:val="007B6C4E"/>
    <w:rsid w:val="007E3205"/>
    <w:rsid w:val="007F73BF"/>
    <w:rsid w:val="00802C67"/>
    <w:rsid w:val="0082479C"/>
    <w:rsid w:val="00882CEE"/>
    <w:rsid w:val="008F1B97"/>
    <w:rsid w:val="00905AC9"/>
    <w:rsid w:val="00966294"/>
    <w:rsid w:val="0099569D"/>
    <w:rsid w:val="00A80F3C"/>
    <w:rsid w:val="00B0519F"/>
    <w:rsid w:val="00B22A54"/>
    <w:rsid w:val="00B53D3C"/>
    <w:rsid w:val="00BA453B"/>
    <w:rsid w:val="00BB6F81"/>
    <w:rsid w:val="00BC38F5"/>
    <w:rsid w:val="00C5255F"/>
    <w:rsid w:val="00C55EA1"/>
    <w:rsid w:val="00C574A5"/>
    <w:rsid w:val="00C915AE"/>
    <w:rsid w:val="00CA1037"/>
    <w:rsid w:val="00CB0F85"/>
    <w:rsid w:val="00CB5F87"/>
    <w:rsid w:val="00CD5A2F"/>
    <w:rsid w:val="00D03816"/>
    <w:rsid w:val="00D63C3D"/>
    <w:rsid w:val="00D65C8A"/>
    <w:rsid w:val="00E030B2"/>
    <w:rsid w:val="00E134E6"/>
    <w:rsid w:val="00E77B8C"/>
    <w:rsid w:val="00E96B68"/>
    <w:rsid w:val="00ED6E3A"/>
    <w:rsid w:val="00EF1DF5"/>
    <w:rsid w:val="00F87EF7"/>
    <w:rsid w:val="00FB776E"/>
    <w:rsid w:val="00FC1057"/>
    <w:rsid w:val="00FF4A87"/>
    <w:rsid w:val="2F3D4C7F"/>
    <w:rsid w:val="78C9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Normal Indent"/>
    <w:qFormat/>
    <w:uiPriority w:val="0"/>
    <w:pPr>
      <w:widowControl w:val="0"/>
      <w:ind w:firstLine="420" w:firstLineChars="200"/>
      <w:jc w:val="both"/>
    </w:pPr>
    <w:rPr>
      <w:rFonts w:ascii="Calibri" w:hAnsi="Calibri" w:eastAsia="仿宋_GB2312" w:cs="Times New Roman"/>
      <w:kern w:val="2"/>
      <w:sz w:val="32"/>
      <w:szCs w:val="22"/>
      <w:lang w:val="en-US" w:eastAsia="zh-CN" w:bidi="ar-SA"/>
    </w:rPr>
  </w:style>
  <w:style w:type="paragraph" w:styleId="12">
    <w:name w:val="footer"/>
    <w:basedOn w:val="1"/>
    <w:link w:val="37"/>
    <w:unhideWhenUsed/>
    <w:qFormat/>
    <w:uiPriority w:val="0"/>
    <w:pPr>
      <w:tabs>
        <w:tab w:val="center" w:pos="4153"/>
        <w:tab w:val="right" w:pos="8306"/>
      </w:tabs>
      <w:snapToGrid w:val="0"/>
      <w:jc w:val="left"/>
    </w:pPr>
    <w:rPr>
      <w:sz w:val="18"/>
      <w:szCs w:val="18"/>
    </w:rPr>
  </w:style>
  <w:style w:type="paragraph" w:styleId="13">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Char"/>
    <w:basedOn w:val="17"/>
    <w:link w:val="2"/>
    <w:uiPriority w:val="9"/>
    <w:rPr>
      <w:rFonts w:asciiTheme="majorHAnsi" w:hAnsiTheme="majorHAnsi" w:eastAsiaTheme="majorEastAsia" w:cstheme="majorBidi"/>
      <w:color w:val="0F4761" w:themeColor="accent1" w:themeShade="BF"/>
      <w:sz w:val="48"/>
      <w:szCs w:val="48"/>
    </w:rPr>
  </w:style>
  <w:style w:type="character" w:customStyle="1" w:styleId="19">
    <w:name w:val="标题 2 Char"/>
    <w:basedOn w:val="17"/>
    <w:link w:val="3"/>
    <w:semiHidden/>
    <w:uiPriority w:val="9"/>
    <w:rPr>
      <w:rFonts w:asciiTheme="majorHAnsi" w:hAnsiTheme="majorHAnsi" w:eastAsiaTheme="majorEastAsia" w:cstheme="majorBidi"/>
      <w:color w:val="0F4761"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1">
    <w:name w:val="标题 4 Char"/>
    <w:basedOn w:val="17"/>
    <w:link w:val="5"/>
    <w:semiHidden/>
    <w:qFormat/>
    <w:uiPriority w:val="9"/>
    <w:rPr>
      <w:rFonts w:cstheme="majorBidi"/>
      <w:color w:val="0F4761" w:themeColor="accent1" w:themeShade="BF"/>
      <w:sz w:val="28"/>
      <w:szCs w:val="28"/>
    </w:rPr>
  </w:style>
  <w:style w:type="character" w:customStyle="1" w:styleId="22">
    <w:name w:val="标题 5 Char"/>
    <w:basedOn w:val="17"/>
    <w:link w:val="6"/>
    <w:semiHidden/>
    <w:uiPriority w:val="9"/>
    <w:rPr>
      <w:rFonts w:cstheme="majorBidi"/>
      <w:color w:val="0F4761" w:themeColor="accent1" w:themeShade="BF"/>
      <w:sz w:val="24"/>
      <w:szCs w:val="24"/>
    </w:rPr>
  </w:style>
  <w:style w:type="character" w:customStyle="1" w:styleId="23">
    <w:name w:val="标题 6 Char"/>
    <w:basedOn w:val="17"/>
    <w:link w:val="7"/>
    <w:semiHidden/>
    <w:qFormat/>
    <w:uiPriority w:val="9"/>
    <w:rPr>
      <w:rFonts w:cstheme="majorBidi"/>
      <w:b/>
      <w:bCs/>
      <w:color w:val="0F4761" w:themeColor="accent1" w:themeShade="BF"/>
    </w:rPr>
  </w:style>
  <w:style w:type="character" w:customStyle="1" w:styleId="24">
    <w:name w:val="标题 7 Char"/>
    <w:basedOn w:val="17"/>
    <w:link w:val="8"/>
    <w:semiHidden/>
    <w:qFormat/>
    <w:uiPriority w:val="9"/>
    <w:rPr>
      <w:rFonts w:cstheme="majorBidi"/>
      <w:b/>
      <w:bCs/>
      <w:color w:val="585858" w:themeColor="text1" w:themeTint="A6"/>
    </w:rPr>
  </w:style>
  <w:style w:type="character" w:customStyle="1" w:styleId="25">
    <w:name w:val="标题 8 Char"/>
    <w:basedOn w:val="17"/>
    <w:link w:val="9"/>
    <w:semiHidden/>
    <w:qFormat/>
    <w:uiPriority w:val="9"/>
    <w:rPr>
      <w:rFonts w:cstheme="majorBidi"/>
      <w:color w:val="585858" w:themeColor="text1" w:themeTint="A6"/>
    </w:rPr>
  </w:style>
  <w:style w:type="character" w:customStyle="1" w:styleId="26">
    <w:name w:val="标题 9 Char"/>
    <w:basedOn w:val="17"/>
    <w:link w:val="10"/>
    <w:semiHidden/>
    <w:qFormat/>
    <w:uiPriority w:val="9"/>
    <w:rPr>
      <w:rFonts w:eastAsiaTheme="majorEastAsia" w:cstheme="majorBidi"/>
      <w:color w:val="585858" w:themeColor="text1" w:themeTint="A6"/>
    </w:rPr>
  </w:style>
  <w:style w:type="character" w:customStyle="1" w:styleId="27">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4"/>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Char"/>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明显引用 Char"/>
    <w:basedOn w:val="17"/>
    <w:link w:val="33"/>
    <w:qFormat/>
    <w:uiPriority w:val="30"/>
    <w:rPr>
      <w:i/>
      <w:iCs/>
      <w:color w:val="0F4761" w:themeColor="accent1" w:themeShade="BF"/>
    </w:rPr>
  </w:style>
  <w:style w:type="character" w:customStyle="1" w:styleId="35">
    <w:name w:val="明显参考1"/>
    <w:basedOn w:val="17"/>
    <w:qFormat/>
    <w:uiPriority w:val="32"/>
    <w:rPr>
      <w:b/>
      <w:bCs/>
      <w:smallCaps/>
      <w:color w:val="0F4761" w:themeColor="accent1" w:themeShade="BF"/>
      <w:spacing w:val="5"/>
    </w:rPr>
  </w:style>
  <w:style w:type="character" w:customStyle="1" w:styleId="36">
    <w:name w:val="页眉 Char"/>
    <w:basedOn w:val="17"/>
    <w:link w:val="13"/>
    <w:semiHidden/>
    <w:qFormat/>
    <w:uiPriority w:val="99"/>
    <w:rPr>
      <w:sz w:val="18"/>
      <w:szCs w:val="18"/>
    </w:rPr>
  </w:style>
  <w:style w:type="character" w:customStyle="1" w:styleId="37">
    <w:name w:val="页脚 Char"/>
    <w:basedOn w:val="17"/>
    <w:link w:val="12"/>
    <w:semiHidden/>
    <w:qFormat/>
    <w:uiPriority w:val="99"/>
    <w:rPr>
      <w:sz w:val="18"/>
      <w:szCs w:val="18"/>
    </w:rPr>
  </w:style>
  <w:style w:type="character" w:customStyle="1" w:styleId="38">
    <w:name w:val="页脚 字符"/>
    <w:qFormat/>
    <w:uiPriority w:val="0"/>
    <w:rPr>
      <w:rFonts w:ascii="Calibri" w:hAnsi="Calibri" w:eastAsia="宋体" w:cs="Times New Roman"/>
      <w:sz w:val="18"/>
      <w:szCs w:val="18"/>
    </w:rPr>
  </w:style>
  <w:style w:type="character" w:customStyle="1" w:styleId="39">
    <w:name w:val="页眉 字符"/>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689</Words>
  <Characters>3933</Characters>
  <Lines>32</Lines>
  <Paragraphs>9</Paragraphs>
  <TotalTime>5</TotalTime>
  <ScaleCrop>false</ScaleCrop>
  <LinksUpToDate>false</LinksUpToDate>
  <CharactersWithSpaces>4613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2025-10-16T06:24:00Z</dcterms:created>
  <dc:creator>ZS</dc:creator>
  <cp:lastModifiedBy>zjj</cp:lastModifiedBy>
  <cp:lastPrinted>2025-10-23T02:53:00Z</cp:lastPrinted>
  <dcterms:modified xsi:type="dcterms:W3CDTF">2025-10-23T07:18:05Z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F95E5E53AA56420D8C53415E0F51B7C9</vt:lpwstr>
  </property>
</Properties>
</file>